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107951</wp:posOffset>
            </wp:positionH>
            <wp:positionV relativeFrom="paragraph">
              <wp:posOffset>0</wp:posOffset>
            </wp:positionV>
            <wp:extent cx="8755380" cy="3147060"/>
            <wp:effectExtent b="0" l="0" r="0" t="0"/>
            <wp:wrapSquare wrapText="bothSides" distB="0" distT="0" distL="114300" distR="11430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121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55380" cy="31470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319723</wp:posOffset>
                </wp:positionH>
                <wp:positionV relativeFrom="paragraph">
                  <wp:posOffset>673418</wp:posOffset>
                </wp:positionV>
                <wp:extent cx="8391525" cy="2311951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155000" y="2777970"/>
                          <a:ext cx="8382000" cy="2004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2060"/>
                                <w:sz w:val="36"/>
                                <w:vertAlign w:val="baseline"/>
                              </w:rPr>
                              <w:t xml:space="preserve">Mapping tool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206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2060"/>
                                <w:sz w:val="32"/>
                                <w:vertAlign w:val="baseline"/>
                              </w:rPr>
                              <w:t xml:space="preserve">Is your organisation guideline a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2060"/>
                                <w:sz w:val="32"/>
                                <w:vertAlign w:val="baseline"/>
                              </w:rPr>
                              <w:t xml:space="preserve">ligned with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2060"/>
                                <w:sz w:val="32"/>
                                <w:vertAlign w:val="baseline"/>
                              </w:rPr>
                              <w:t xml:space="preserve"> the Management of Peripheral Intravenous Catheters Clinical Care Standard 2021?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206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This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563c1"/>
                                <w:sz w:val="22"/>
                                <w:u w:val="single"/>
                                <w:vertAlign w:val="baseline"/>
                              </w:rPr>
                              <w:t xml:space="preserve">clinical care standard 2021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was produced by the Australian Commission on Safety and Quality in Health Care (ACSQHC) to support the delivery of appropriate care for a defined condition, based on the best evidence available at the time of development.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highlight w:val="white"/>
                                <w:vertAlign w:val="baseline"/>
                              </w:rPr>
                              <w:t xml:space="preserve">Indicators have been developed to support monitoring of the care recommended in the standard. 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ACSQHC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highlight w:val="white"/>
                                <w:vertAlign w:val="baseline"/>
                              </w:rPr>
                              <w:t xml:space="preserve"> recommends clinicians and health service organisations use the indicators to support local quality improvement activities.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highlight w:val="whit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319723</wp:posOffset>
                </wp:positionH>
                <wp:positionV relativeFrom="paragraph">
                  <wp:posOffset>673418</wp:posOffset>
                </wp:positionV>
                <wp:extent cx="8391525" cy="2311951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91525" cy="231195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35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70"/>
        <w:gridCol w:w="3270"/>
        <w:gridCol w:w="4005"/>
        <w:tblGridChange w:id="0">
          <w:tblGrid>
            <w:gridCol w:w="6270"/>
            <w:gridCol w:w="3270"/>
            <w:gridCol w:w="4005"/>
          </w:tblGrid>
        </w:tblGridChange>
      </w:tblGrid>
      <w:tr>
        <w:trPr>
          <w:cantSplit w:val="0"/>
          <w:tblHeader w:val="0"/>
        </w:trPr>
        <w:tc>
          <w:tcPr>
            <w:shd w:fill="1f3864" w:val="clear"/>
          </w:tcPr>
          <w:p w:rsidR="00000000" w:rsidDel="00000000" w:rsidP="00000000" w:rsidRDefault="00000000" w:rsidRPr="00000000" w14:paraId="00000002">
            <w:pPr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Indicators </w:t>
            </w:r>
          </w:p>
        </w:tc>
        <w:tc>
          <w:tcPr>
            <w:shd w:fill="1f3864" w:val="clear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Has your organisation guideline addressed this indicator Yes/No</w:t>
            </w:r>
          </w:p>
          <w:p w:rsidR="00000000" w:rsidDel="00000000" w:rsidP="00000000" w:rsidRDefault="00000000" w:rsidRPr="00000000" w14:paraId="00000004">
            <w:pPr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If No, what is your proposed change?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Assess intravenous access needs. Indicator 1: </w:t>
            </w:r>
            <w:r w:rsidDel="00000000" w:rsidR="00000000" w:rsidRPr="00000000">
              <w:rPr>
                <w:rtl w:val="0"/>
              </w:rPr>
              <w:t xml:space="preserve">Proportion of patients with a PIVC in situ that has not been used for a therapeutic purpose since it was inserted.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yes 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Inform and partner with patients. Indicator 2: </w:t>
            </w:r>
            <w:r w:rsidDel="00000000" w:rsidR="00000000" w:rsidRPr="00000000">
              <w:rPr>
                <w:rtl w:val="0"/>
              </w:rPr>
              <w:t xml:space="preserve">Proportion of patients with a PIVC in situ that can identify the reason for the device.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Ensure competency Indicator 3: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Evidence of a locally approved policy that ensures healthcare professionals are competent in PIVC insertion, monitoring, and removal. The policy should specify the: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Competency a clinician must demonstrate to insert a PIVC, including for more complex and technology-assisted insertions 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Competency a clinician must demonstrate to monitor and remove PIVCs 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Organisation’s process to assess and monitor the ongoing competency of clinicians, including for more complex insertions 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Organisation’s process to assess adherence to the policy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Choose the right insertion site and PIVC Indicator 4a: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Evidence of local arrangements that provide systematic support for decisions related to the selection of an appropriate PIVC device. 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Indicator 4b:</w:t>
            </w:r>
            <w:r w:rsidDel="00000000" w:rsidR="00000000" w:rsidRPr="00000000">
              <w:rPr>
                <w:rtl w:val="0"/>
              </w:rPr>
              <w:t xml:space="preserve"> Proportion of patients with a PIVC in situ over an area of flexion. Note: This indicator is specified to include patients with a PIVC in situ for 24 hours or longer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Maximise first insertion success. Indicator 5a:</w:t>
            </w:r>
            <w:r w:rsidDel="00000000" w:rsidR="00000000" w:rsidRPr="00000000">
              <w:rPr>
                <w:rtl w:val="0"/>
              </w:rPr>
              <w:t xml:space="preserve"> Evidence of a locally approved policy that defines the local protocol to support PIVC insertion on the first attempt. The protocol should specify the: 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A risk assessment process that should be used to identify patients where insertion of a PIVC may be more complex 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Situations when staff should escalate PIVC insertion to more experienced staff, and the process to follow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Clinical situations when more than one attempt is appropriate 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The organisation’s process to assess adherence and outcomes of the policy.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Indicator 5b:</w:t>
            </w:r>
            <w:r w:rsidDel="00000000" w:rsidR="00000000" w:rsidRPr="00000000">
              <w:rPr>
                <w:rtl w:val="0"/>
              </w:rPr>
              <w:t xml:space="preserve"> Proportion of patients who report their PIVC was inserted on the first attempt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Document decisions and care. Indicator 7a:</w:t>
            </w:r>
            <w:r w:rsidDel="00000000" w:rsidR="00000000" w:rsidRPr="00000000">
              <w:rPr>
                <w:rtl w:val="0"/>
              </w:rPr>
              <w:t xml:space="preserve"> Evidence of a locally approved policy that defines the documentation for PIVC insertion, maintenance, removal, and regular review. The policy should specify: 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The information that must be documented in the medical record for every PIVC inserted, including, indication for insertion, maintenance, and removal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How often should documentation occur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The organisation’s process to assess adherence to the policy. 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Indicator 7b:</w:t>
            </w:r>
            <w:r w:rsidDel="00000000" w:rsidR="00000000" w:rsidRPr="00000000">
              <w:rPr>
                <w:rtl w:val="0"/>
              </w:rPr>
              <w:t xml:space="preserve"> Proportion of patients with a PIVC in situ with the indication for insertion documented in their medical record.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Routine use: inspect, access, and flush Indicator 8a:</w:t>
            </w:r>
            <w:r w:rsidDel="00000000" w:rsidR="00000000" w:rsidRPr="00000000">
              <w:rPr>
                <w:rtl w:val="0"/>
              </w:rPr>
              <w:t xml:space="preserve"> Proportion of patients with a PIVC in situ who have their PIVC insertion site inspected for complications at least every 8 hours. 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Indicator 8b:</w:t>
            </w:r>
            <w:r w:rsidDel="00000000" w:rsidR="00000000" w:rsidRPr="00000000">
              <w:rPr>
                <w:rtl w:val="0"/>
              </w:rPr>
              <w:t xml:space="preserve"> Proportion of patients with a PIVC in situ with a clean, dry, and secure PIVC dressing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Review ongoing need Indicator 9:</w:t>
            </w:r>
            <w:r w:rsidDel="00000000" w:rsidR="00000000" w:rsidRPr="00000000">
              <w:rPr>
                <w:rtl w:val="0"/>
              </w:rPr>
              <w:t xml:space="preserve"> Proportion of patients with a PIVC in situ who have been assessed in the last 24 hours to determine the ongoing need for their PIVC</w:t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Remove safely and replace if needed. Indicator 10:</w:t>
            </w:r>
            <w:r w:rsidDel="00000000" w:rsidR="00000000" w:rsidRPr="00000000">
              <w:rPr>
                <w:rtl w:val="0"/>
              </w:rPr>
              <w:t xml:space="preserve"> Proportion of patients with a PIVC in situ that has not been used for a therapeutic purpose in 24 hours.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Page </w:t>
    </w:r>
    <w:r w:rsidDel="00000000" w:rsidR="00000000" w:rsidRPr="00000000">
      <w:rPr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of </w:t>
    </w:r>
    <w:r w:rsidDel="00000000" w:rsidR="00000000" w:rsidRPr="00000000">
      <w:rPr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-555624</wp:posOffset>
          </wp:positionH>
          <wp:positionV relativeFrom="paragraph">
            <wp:posOffset>-297179</wp:posOffset>
          </wp:positionV>
          <wp:extent cx="1149350" cy="678180"/>
          <wp:effectExtent b="0" l="0" r="0" t="0"/>
          <wp:wrapSquare wrapText="bothSides" distB="0" distT="0" distL="114300" distR="114300"/>
          <wp:docPr id="9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9350" cy="6781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75599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5599C"/>
  </w:style>
  <w:style w:type="paragraph" w:styleId="Footer">
    <w:name w:val="footer"/>
    <w:basedOn w:val="Normal"/>
    <w:link w:val="FooterChar"/>
    <w:uiPriority w:val="99"/>
    <w:unhideWhenUsed w:val="1"/>
    <w:rsid w:val="0075599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5599C"/>
  </w:style>
  <w:style w:type="character" w:styleId="Hyperlink">
    <w:name w:val="Hyperlink"/>
    <w:basedOn w:val="DefaultParagraphFont"/>
    <w:uiPriority w:val="99"/>
    <w:unhideWhenUsed w:val="1"/>
    <w:rsid w:val="007559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75599C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2F43D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 w:val="1"/>
    <w:rsid w:val="00074CC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k/B6+KbDRJJcPCn2kcWAmhIMig==">CgMxLjA4AHIhMXN4RkhjZ2dCQ1pNU1ZXZUthQXc4aWNnUVVjRlRVaERG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2024-08-14T23:45:00Z</dcterms:created>
  <dc:creator>Sundy Yang</dc:creator>
</cp:coreProperties>
</file>