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240" w:before="240" w:line="240" w:lineRule="auto"/>
        <w:ind w:left="-284" w:right="-612" w:firstLine="0"/>
        <w:rPr>
          <w:b w:val="1"/>
          <w:bCs w:val="1"/>
          <w:color w:val="005da6"/>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547688</wp:posOffset>
                </wp:positionH>
                <wp:positionV relativeFrom="paragraph">
                  <wp:posOffset>-117156</wp:posOffset>
                </wp:positionV>
                <wp:extent cx="5600382" cy="665580"/>
                <wp:effectExtent b="0" l="0" r="0" t="0"/>
                <wp:wrapNone/>
                <wp:docPr id="6" name=""/>
                <a:graphic>
                  <a:graphicData uri="http://schemas.microsoft.com/office/word/2010/wordprocessingShape">
                    <wps:wsp>
                      <wps:cNvSpPr/>
                      <wps:cNvPr id="2" name="Shape 2"/>
                      <wps:spPr>
                        <a:xfrm>
                          <a:off x="2550572" y="3456150"/>
                          <a:ext cx="5590857" cy="647700"/>
                        </a:xfrm>
                        <a:prstGeom prst="rect">
                          <a:avLst/>
                        </a:prstGeom>
                        <a:solidFill>
                          <a:srgbClr val="25215D"/>
                        </a:solidFill>
                        <a:ln>
                          <a:noFill/>
                        </a:ln>
                      </wps:spPr>
                      <wps:txbx>
                        <w:txbxContent>
                          <w:p w:rsidR="00000000" w:rsidDel="00000000" w:rsidP="00000000" w:rsidRDefault="00000000" w:rsidRPr="00000000">
                            <w:pPr>
                              <w:spacing w:after="0" w:before="0" w:line="264.0000057220459"/>
                              <w:ind w:left="1134.000015258789" w:right="0" w:firstLine="1134.000015258789"/>
                              <w:jc w:val="left"/>
                              <w:textDirection w:val="btLr"/>
                            </w:pPr>
                            <w:r w:rsidDel="00000000" w:rsidR="00000000" w:rsidRPr="00000000">
                              <w:rPr>
                                <w:rFonts w:ascii="Calibri" w:cs="Calibri" w:eastAsia="Calibri" w:hAnsi="Calibri"/>
                                <w:b w:val="1"/>
                                <w:i w:val="0"/>
                                <w:smallCaps w:val="0"/>
                                <w:strike w:val="0"/>
                                <w:color w:val="ffffff"/>
                                <w:sz w:val="44"/>
                                <w:vertAlign w:val="baseline"/>
                              </w:rPr>
                              <w:t xml:space="preserve">PROCEDURE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547688</wp:posOffset>
                </wp:positionH>
                <wp:positionV relativeFrom="paragraph">
                  <wp:posOffset>-117156</wp:posOffset>
                </wp:positionV>
                <wp:extent cx="5600382" cy="665580"/>
                <wp:effectExtent b="0" l="0" r="0" t="0"/>
                <wp:wrapNone/>
                <wp:docPr id="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600382" cy="665580"/>
                        </a:xfrm>
                        <a:prstGeom prst="rect"/>
                        <a:ln/>
                      </pic:spPr>
                    </pic:pic>
                  </a:graphicData>
                </a:graphic>
              </wp:anchor>
            </w:drawing>
          </mc:Fallback>
        </mc:AlternateContent>
      </w:r>
    </w:p>
    <w:p w:rsidR="00000000" w:rsidDel="00000000" w:rsidP="00000000" w:rsidRDefault="00000000" w:rsidRPr="00000000" w14:paraId="00000002">
      <w:pPr>
        <w:keepNext w:val="1"/>
        <w:spacing w:after="240" w:before="240" w:line="240" w:lineRule="auto"/>
        <w:ind w:left="-284" w:right="-612" w:firstLine="0"/>
        <w:rPr>
          <w:b w:val="1"/>
          <w:bCs w:val="1"/>
          <w:color w:val="005da6"/>
          <w:sz w:val="22"/>
          <w:szCs w:val="22"/>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612" w:firstLine="0"/>
        <w:jc w:val="center"/>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Selection of appropriate peripheral venous access for imaging examinations (Adult)</w:t>
      </w:r>
      <w:r w:rsidDel="00000000" w:rsidR="00000000" w:rsidRPr="00000000">
        <w:rPr>
          <w:rtl w:val="0"/>
        </w:rPr>
      </w:r>
    </w:p>
    <w:sdt>
      <w:sdtPr>
        <w:id w:val="387840079"/>
        <w:docPartObj>
          <w:docPartGallery w:val="Table of Contents"/>
          <w:docPartUnique w:val="1"/>
        </w:docPartObj>
      </w:sdtPr>
      <w:sdtContent>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ghy4316t2haq">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TARGET AUDIENCE and SETTING</w:t>
              <w:tab/>
              <w:t xml:space="preserve">1</w:t>
            </w:r>
          </w:hyperlink>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ggrhy45cwfl7">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PURPOSE</w:t>
              <w:tab/>
              <w:t xml:space="preserve">1</w:t>
            </w:r>
          </w:hyperlink>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x1voifyi3u0m">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ABBREVIATIONS</w:t>
              <w:tab/>
              <w:t xml:space="preserve">1</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iflps5b5mcp">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PRECAUTIONS</w:t>
              <w:tab/>
              <w:t xml:space="preserve">2</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mgg8lvz7ida7">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STANDARD REQUIREMENTS</w:t>
              <w:tab/>
              <w:t xml:space="preserve">3</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bc0gmcfx614h">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PROCEDURE</w:t>
              <w:tab/>
              <w:t xml:space="preserve">3</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dvcy3iw4tfrn">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RELATED DOCUMENTATION</w:t>
              <w:tab/>
              <w:t xml:space="preserve">4</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wgzxe03chkt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KEY STANDARDS, GUIDELINES OR LEGISLATION</w:t>
              <w:tab/>
              <w:t xml:space="preserve">4</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16"/>
            </w:tabs>
            <w:spacing w:after="100" w:before="0" w:line="264"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hyperlink w:anchor="_heading=h.su8drtxzdsmd">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REFERENCES</w:t>
              <w:tab/>
              <w:t xml:space="preserve">5</w:t>
            </w:r>
          </w:hyperlink>
          <w:r w:rsidDel="00000000" w:rsidR="00000000" w:rsidRPr="00000000">
            <w:rPr>
              <w:rtl w:val="0"/>
            </w:rPr>
          </w:r>
        </w:p>
        <w:p w:rsidR="00000000" w:rsidDel="00000000" w:rsidP="00000000" w:rsidRDefault="00000000" w:rsidRPr="00000000" w14:paraId="0000000D">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pStyle w:val="Heading1"/>
        <w:ind w:hanging="284"/>
        <w:rPr/>
      </w:pPr>
      <w:bookmarkStart w:colFirst="0" w:colLast="0" w:name="_heading=h.ghy4316t2haq" w:id="0"/>
      <w:bookmarkEnd w:id="0"/>
      <w:r w:rsidDel="00000000" w:rsidR="00000000" w:rsidRPr="00000000">
        <w:rPr>
          <w:rtl w:val="0"/>
        </w:rPr>
        <w:t xml:space="preserve">TARGET AUDIENCE and SETTING</w:t>
      </w:r>
    </w:p>
    <w:p w:rsidR="00000000" w:rsidDel="00000000" w:rsidP="00000000" w:rsidRDefault="00000000" w:rsidRPr="00000000" w14:paraId="0000000F">
      <w:pPr>
        <w:spacing w:after="240" w:line="240" w:lineRule="auto"/>
        <w:ind w:left="-284" w:right="-613" w:firstLine="0"/>
        <w:rPr>
          <w:sz w:val="22"/>
          <w:szCs w:val="22"/>
        </w:rPr>
      </w:pPr>
      <w:r w:rsidDel="00000000" w:rsidR="00000000" w:rsidRPr="00000000">
        <w:rPr>
          <w:sz w:val="22"/>
          <w:szCs w:val="22"/>
          <w:rtl w:val="0"/>
        </w:rPr>
        <w:t xml:space="preserve">Monash Health Nursing and Medical staff, Medical Imaging Technologists and Nuclear Medicine Technologists inserting a peripheral intravenous cannula (PIVC) for imaging examinations, within their scope of practice.</w:t>
      </w:r>
    </w:p>
    <w:p w:rsidR="00000000" w:rsidDel="00000000" w:rsidP="00000000" w:rsidRDefault="00000000" w:rsidRPr="00000000" w14:paraId="00000010">
      <w:pPr>
        <w:pStyle w:val="Heading1"/>
        <w:ind w:hanging="284"/>
        <w:rPr/>
      </w:pPr>
      <w:bookmarkStart w:colFirst="0" w:colLast="0" w:name="_heading=h.ggrhy45cwfl7" w:id="1"/>
      <w:bookmarkEnd w:id="1"/>
      <w:r w:rsidDel="00000000" w:rsidR="00000000" w:rsidRPr="00000000">
        <w:rPr>
          <w:rtl w:val="0"/>
        </w:rPr>
        <w:t xml:space="preserve">PURPOSE</w:t>
      </w:r>
    </w:p>
    <w:p w:rsidR="00000000" w:rsidDel="00000000" w:rsidP="00000000" w:rsidRDefault="00000000" w:rsidRPr="00000000" w14:paraId="00000011">
      <w:pPr>
        <w:spacing w:after="240" w:line="240" w:lineRule="auto"/>
        <w:ind w:left="-284" w:right="-613" w:firstLine="0"/>
        <w:rPr>
          <w:sz w:val="22"/>
          <w:szCs w:val="22"/>
        </w:rPr>
      </w:pPr>
      <w:r w:rsidDel="00000000" w:rsidR="00000000" w:rsidRPr="00000000">
        <w:rPr>
          <w:sz w:val="22"/>
          <w:szCs w:val="22"/>
          <w:rtl w:val="0"/>
        </w:rPr>
        <w:t xml:space="preserve">Patients attending Radiology frequently require intravenous access for administration of contrast media or radiopharmaceuticals to undertake the requested examination. </w:t>
      </w:r>
    </w:p>
    <w:p w:rsidR="00000000" w:rsidDel="00000000" w:rsidP="00000000" w:rsidRDefault="00000000" w:rsidRPr="00000000" w14:paraId="00000012">
      <w:pPr>
        <w:spacing w:after="240" w:line="240" w:lineRule="auto"/>
        <w:ind w:left="-284" w:right="-613" w:firstLine="0"/>
        <w:rPr>
          <w:sz w:val="22"/>
          <w:szCs w:val="22"/>
        </w:rPr>
      </w:pPr>
      <w:r w:rsidDel="00000000" w:rsidR="00000000" w:rsidRPr="00000000">
        <w:rPr>
          <w:sz w:val="22"/>
          <w:szCs w:val="22"/>
          <w:rtl w:val="0"/>
        </w:rPr>
        <w:t xml:space="preserve">This procedure will assist clinicians with PIVC selection and </w:t>
      </w:r>
      <w:r w:rsidDel="00000000" w:rsidR="00000000" w:rsidRPr="00000000">
        <w:rPr>
          <w:i w:val="1"/>
          <w:iCs w:val="1"/>
          <w:sz w:val="22"/>
          <w:szCs w:val="22"/>
          <w:rtl w:val="0"/>
        </w:rPr>
        <w:t xml:space="preserve">insertion</w:t>
      </w:r>
      <w:r w:rsidDel="00000000" w:rsidR="00000000" w:rsidRPr="00000000">
        <w:rPr>
          <w:sz w:val="22"/>
          <w:szCs w:val="22"/>
          <w:rtl w:val="0"/>
        </w:rPr>
        <w:t xml:space="preserve"> site prior to attending for imaging examinations which require contrast media or radiopharmaceuticals, such as contrast enhanced CT, MRI or Ultrasound scans, or Nuclear Medicine examinations.</w:t>
      </w:r>
    </w:p>
    <w:p w:rsidR="00000000" w:rsidDel="00000000" w:rsidP="00000000" w:rsidRDefault="00000000" w:rsidRPr="00000000" w14:paraId="00000013">
      <w:pPr>
        <w:pStyle w:val="Heading1"/>
        <w:ind w:hanging="284"/>
        <w:rPr/>
      </w:pPr>
      <w:bookmarkStart w:colFirst="0" w:colLast="0" w:name="_heading=h.x1voifyi3u0m" w:id="2"/>
      <w:bookmarkEnd w:id="2"/>
      <w:r w:rsidDel="00000000" w:rsidR="00000000" w:rsidRPr="00000000">
        <w:rPr>
          <w:rtl w:val="0"/>
        </w:rPr>
        <w:t xml:space="preserve">ABBREVIATIONS</w:t>
      </w:r>
    </w:p>
    <w:tbl>
      <w:tblPr>
        <w:tblStyle w:val="Table1"/>
        <w:tblW w:w="9016.0" w:type="dxa"/>
        <w:jc w:val="left"/>
        <w:tblInd w:w="-284.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04"/>
        <w:gridCol w:w="3912"/>
        <w:tblGridChange w:id="0">
          <w:tblGrid>
            <w:gridCol w:w="5104"/>
            <w:gridCol w:w="3912"/>
          </w:tblGrid>
        </w:tblGridChange>
      </w:tblGrid>
      <w:tr>
        <w:trPr>
          <w:cantSplit w:val="0"/>
          <w:tblHeader w:val="0"/>
        </w:trPr>
        <w:tc>
          <w:tcPr/>
          <w:p w:rsidR="00000000" w:rsidDel="00000000" w:rsidP="00000000" w:rsidRDefault="00000000" w:rsidRPr="00000000" w14:paraId="00000014">
            <w:pPr>
              <w:spacing w:after="240" w:lineRule="auto"/>
              <w:ind w:left="28" w:right="-613" w:firstLine="0"/>
              <w:rPr>
                <w:rFonts w:ascii="Calibri" w:cs="Calibri" w:eastAsia="Calibri" w:hAnsi="Calibri"/>
                <w:sz w:val="22"/>
                <w:szCs w:val="22"/>
              </w:rPr>
            </w:pPr>
            <w:r w:rsidDel="00000000" w:rsidR="00000000" w:rsidRPr="00000000">
              <w:rPr>
                <w:sz w:val="22"/>
                <w:szCs w:val="22"/>
                <w:rtl w:val="0"/>
              </w:rPr>
              <w:t xml:space="preserve">CCTA – Coronary Computed Tomography Angiography</w:t>
            </w:r>
            <w:r w:rsidDel="00000000" w:rsidR="00000000" w:rsidRPr="00000000">
              <w:rPr>
                <w:rtl w:val="0"/>
              </w:rPr>
            </w:r>
          </w:p>
        </w:tc>
        <w:tc>
          <w:tcPr/>
          <w:p w:rsidR="00000000" w:rsidDel="00000000" w:rsidP="00000000" w:rsidRDefault="00000000" w:rsidRPr="00000000" w14:paraId="00000015">
            <w:pPr>
              <w:spacing w:after="240" w:lineRule="auto"/>
              <w:ind w:left="28" w:right="-613" w:firstLine="0"/>
              <w:rPr>
                <w:sz w:val="22"/>
                <w:szCs w:val="22"/>
              </w:rPr>
            </w:pPr>
            <w:r w:rsidDel="00000000" w:rsidR="00000000" w:rsidRPr="00000000">
              <w:rPr>
                <w:sz w:val="22"/>
                <w:szCs w:val="22"/>
                <w:rtl w:val="0"/>
              </w:rPr>
              <w:t xml:space="preserve">MRI – Magnetic Resonance Imaging</w:t>
            </w:r>
          </w:p>
        </w:tc>
      </w:tr>
      <w:tr>
        <w:trPr>
          <w:cantSplit w:val="0"/>
          <w:tblHeader w:val="0"/>
        </w:trPr>
        <w:tc>
          <w:tcPr/>
          <w:p w:rsidR="00000000" w:rsidDel="00000000" w:rsidP="00000000" w:rsidRDefault="00000000" w:rsidRPr="00000000" w14:paraId="00000016">
            <w:pPr>
              <w:spacing w:after="240" w:lineRule="auto"/>
              <w:ind w:left="28" w:right="-613" w:firstLine="0"/>
              <w:rPr>
                <w:sz w:val="22"/>
                <w:szCs w:val="22"/>
              </w:rPr>
            </w:pPr>
            <w:r w:rsidDel="00000000" w:rsidR="00000000" w:rsidRPr="00000000">
              <w:rPr>
                <w:sz w:val="22"/>
                <w:szCs w:val="22"/>
                <w:rtl w:val="0"/>
              </w:rPr>
              <w:t xml:space="preserve">CT – Computed Tomography</w:t>
            </w:r>
          </w:p>
        </w:tc>
        <w:tc>
          <w:tcPr/>
          <w:p w:rsidR="00000000" w:rsidDel="00000000" w:rsidP="00000000" w:rsidRDefault="00000000" w:rsidRPr="00000000" w14:paraId="00000017">
            <w:pPr>
              <w:spacing w:after="240" w:lineRule="auto"/>
              <w:ind w:left="28" w:right="-613"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mSv – millisieverts </w:t>
            </w:r>
          </w:p>
        </w:tc>
      </w:tr>
      <w:tr>
        <w:trPr>
          <w:cantSplit w:val="0"/>
          <w:tblHeader w:val="0"/>
        </w:trPr>
        <w:tc>
          <w:tcPr/>
          <w:p w:rsidR="00000000" w:rsidDel="00000000" w:rsidP="00000000" w:rsidRDefault="00000000" w:rsidRPr="00000000" w14:paraId="00000018">
            <w:pPr>
              <w:spacing w:after="240" w:lineRule="auto"/>
              <w:ind w:left="28" w:right="-613" w:firstLine="0"/>
              <w:rPr>
                <w:sz w:val="22"/>
                <w:szCs w:val="22"/>
              </w:rPr>
            </w:pPr>
            <w:r w:rsidDel="00000000" w:rsidR="00000000" w:rsidRPr="00000000">
              <w:rPr>
                <w:sz w:val="22"/>
                <w:szCs w:val="22"/>
                <w:rtl w:val="0"/>
              </w:rPr>
              <w:t xml:space="preserve">CTA – Computed Tomography Angiogram</w:t>
            </w:r>
          </w:p>
        </w:tc>
        <w:tc>
          <w:tcPr/>
          <w:p w:rsidR="00000000" w:rsidDel="00000000" w:rsidP="00000000" w:rsidRDefault="00000000" w:rsidRPr="00000000" w14:paraId="00000019">
            <w:pPr>
              <w:spacing w:after="240" w:lineRule="auto"/>
              <w:ind w:right="-612"/>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NM – Nuclear Medicine</w:t>
            </w:r>
          </w:p>
        </w:tc>
      </w:tr>
      <w:tr>
        <w:trPr>
          <w:cantSplit w:val="0"/>
          <w:tblHeader w:val="0"/>
        </w:trPr>
        <w:tc>
          <w:tcPr/>
          <w:p w:rsidR="00000000" w:rsidDel="00000000" w:rsidP="00000000" w:rsidRDefault="00000000" w:rsidRPr="00000000" w14:paraId="0000001A">
            <w:pPr>
              <w:spacing w:after="240" w:lineRule="auto"/>
              <w:ind w:left="28" w:right="-613" w:firstLine="0"/>
              <w:rPr>
                <w:sz w:val="22"/>
                <w:szCs w:val="22"/>
              </w:rPr>
            </w:pPr>
            <w:r w:rsidDel="00000000" w:rsidR="00000000" w:rsidRPr="00000000">
              <w:rPr>
                <w:sz w:val="22"/>
                <w:szCs w:val="22"/>
                <w:rtl w:val="0"/>
              </w:rPr>
              <w:t xml:space="preserve">CTPA – Computed Tomography Pulmonary </w:t>
              <w:br w:type="textWrapping"/>
              <w:t xml:space="preserve">Angiography</w:t>
            </w:r>
          </w:p>
        </w:tc>
        <w:tc>
          <w:tcPr/>
          <w:p w:rsidR="00000000" w:rsidDel="00000000" w:rsidP="00000000" w:rsidRDefault="00000000" w:rsidRPr="00000000" w14:paraId="0000001B">
            <w:pPr>
              <w:spacing w:after="240" w:lineRule="auto"/>
              <w:ind w:left="28" w:right="-613" w:firstLine="0"/>
              <w:rPr>
                <w:sz w:val="22"/>
                <w:szCs w:val="22"/>
              </w:rPr>
            </w:pPr>
            <w:r w:rsidDel="00000000" w:rsidR="00000000" w:rsidRPr="00000000">
              <w:rPr>
                <w:sz w:val="22"/>
                <w:szCs w:val="22"/>
                <w:rtl w:val="0"/>
              </w:rPr>
              <w:t xml:space="preserve">PIVC – Peripheral Intravenous Cannula</w:t>
            </w:r>
          </w:p>
        </w:tc>
      </w:tr>
      <w:tr>
        <w:trPr>
          <w:cantSplit w:val="0"/>
          <w:tblHeader w:val="0"/>
        </w:trPr>
        <w:tc>
          <w:tcPr/>
          <w:p w:rsidR="00000000" w:rsidDel="00000000" w:rsidP="00000000" w:rsidRDefault="00000000" w:rsidRPr="00000000" w14:paraId="0000001C">
            <w:pPr>
              <w:spacing w:after="240" w:lineRule="auto"/>
              <w:ind w:left="28" w:right="-612"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EMR – Electronic Medical Record</w:t>
            </w:r>
          </w:p>
        </w:tc>
        <w:tc>
          <w:tcPr/>
          <w:p w:rsidR="00000000" w:rsidDel="00000000" w:rsidP="00000000" w:rsidRDefault="00000000" w:rsidRPr="00000000" w14:paraId="0000001D">
            <w:pPr>
              <w:spacing w:after="240" w:lineRule="auto"/>
              <w:ind w:right="-612"/>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US – Ultrasound</w:t>
            </w:r>
          </w:p>
        </w:tc>
      </w:tr>
      <w:tr>
        <w:trPr>
          <w:cantSplit w:val="0"/>
          <w:tblHeader w:val="0"/>
        </w:trPr>
        <w:tc>
          <w:tcPr/>
          <w:p w:rsidR="00000000" w:rsidDel="00000000" w:rsidP="00000000" w:rsidRDefault="00000000" w:rsidRPr="00000000" w14:paraId="0000001E">
            <w:pPr>
              <w:spacing w:after="240" w:lineRule="auto"/>
              <w:ind w:left="28" w:right="-612"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 – Gauge</w:t>
            </w:r>
          </w:p>
        </w:tc>
        <w:tc>
          <w:tcPr/>
          <w:p w:rsidR="00000000" w:rsidDel="00000000" w:rsidP="00000000" w:rsidRDefault="00000000" w:rsidRPr="00000000" w14:paraId="0000001F">
            <w:pPr>
              <w:spacing w:after="240" w:lineRule="auto"/>
              <w:ind w:right="-612"/>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Yrs – Years </w:t>
            </w:r>
          </w:p>
        </w:tc>
      </w:tr>
    </w:tbl>
    <w:p w:rsidR="00000000" w:rsidDel="00000000" w:rsidP="00000000" w:rsidRDefault="00000000" w:rsidRPr="00000000" w14:paraId="00000020">
      <w:pPr>
        <w:pStyle w:val="Heading1"/>
        <w:ind w:hanging="284"/>
        <w:rPr/>
      </w:pPr>
      <w:bookmarkStart w:colFirst="0" w:colLast="0" w:name="_heading=h.diflps5b5mcp" w:id="3"/>
      <w:bookmarkEnd w:id="3"/>
      <w:r w:rsidDel="00000000" w:rsidR="00000000" w:rsidRPr="00000000">
        <w:rPr>
          <w:rtl w:val="0"/>
        </w:rPr>
        <w:t xml:space="preserve">PRECAUTIONS</w:t>
      </w:r>
    </w:p>
    <w:p w:rsidR="00000000" w:rsidDel="00000000" w:rsidP="00000000" w:rsidRDefault="00000000" w:rsidRPr="00000000" w14:paraId="00000021">
      <w:pPr>
        <w:spacing w:after="240" w:line="240" w:lineRule="auto"/>
        <w:ind w:left="-284" w:right="-613" w:firstLine="0"/>
        <w:rPr>
          <w:sz w:val="22"/>
          <w:szCs w:val="22"/>
        </w:rPr>
      </w:pPr>
      <w:r w:rsidDel="00000000" w:rsidR="00000000" w:rsidRPr="00000000">
        <w:rPr>
          <w:sz w:val="22"/>
          <w:szCs w:val="22"/>
          <w:u w:val="single"/>
          <w:rtl w:val="0"/>
        </w:rPr>
        <w:t xml:space="preserve">Intravenous contrast extravasation</w:t>
      </w:r>
      <w:r w:rsidDel="00000000" w:rsidR="00000000" w:rsidRPr="00000000">
        <w:rPr>
          <w:sz w:val="22"/>
          <w:szCs w:val="22"/>
          <w:rtl w:val="0"/>
        </w:rPr>
        <w:t xml:space="preserve"> into the subcutaneous tissue occurs in less than 1% of patients</w:t>
      </w:r>
      <w:r w:rsidDel="00000000" w:rsidR="00000000" w:rsidRPr="00000000">
        <w:rPr>
          <w:sz w:val="22"/>
          <w:szCs w:val="22"/>
          <w:vertAlign w:val="superscript"/>
          <w:rtl w:val="0"/>
        </w:rPr>
        <w:t xml:space="preserve">1</w:t>
      </w:r>
      <w:r w:rsidDel="00000000" w:rsidR="00000000" w:rsidRPr="00000000">
        <w:rPr>
          <w:sz w:val="22"/>
          <w:szCs w:val="22"/>
          <w:rtl w:val="0"/>
        </w:rPr>
        <w:t xml:space="preserve">. In most cases, extravasation injuries are mild, however, they often lead to either poor quality imaging that affects the diagnostic accuracy OR the need to repeat imaging which then constitutes a radiation incident if ionising radiation has been used. Radiation incidents are reportable to the Department of Health if the patient has received an additional 1mSv of radiation that was unintended</w:t>
      </w:r>
      <w:r w:rsidDel="00000000" w:rsidR="00000000" w:rsidRPr="00000000">
        <w:rPr>
          <w:sz w:val="22"/>
          <w:szCs w:val="22"/>
          <w:vertAlign w:val="superscript"/>
          <w:rtl w:val="0"/>
        </w:rPr>
        <w:t xml:space="preserve">2</w:t>
      </w:r>
      <w:r w:rsidDel="00000000" w:rsidR="00000000" w:rsidRPr="00000000">
        <w:rPr>
          <w:sz w:val="22"/>
          <w:szCs w:val="22"/>
          <w:rtl w:val="0"/>
        </w:rPr>
        <w:t xml:space="preserve">.</w:t>
      </w:r>
    </w:p>
    <w:p w:rsidR="00000000" w:rsidDel="00000000" w:rsidP="00000000" w:rsidRDefault="00000000" w:rsidRPr="00000000" w14:paraId="00000022">
      <w:pPr>
        <w:spacing w:after="240" w:line="240" w:lineRule="auto"/>
        <w:ind w:left="-284" w:right="-613" w:firstLine="0"/>
        <w:rPr>
          <w:sz w:val="22"/>
          <w:szCs w:val="22"/>
        </w:rPr>
      </w:pPr>
      <w:r w:rsidDel="00000000" w:rsidR="00000000" w:rsidRPr="00000000">
        <w:rPr>
          <w:sz w:val="22"/>
          <w:szCs w:val="22"/>
          <w:rtl w:val="0"/>
        </w:rPr>
        <w:t xml:space="preserve">Risk factors of extravasation include</w:t>
      </w:r>
      <w:r w:rsidDel="00000000" w:rsidR="00000000" w:rsidRPr="00000000">
        <w:rPr>
          <w:sz w:val="22"/>
          <w:szCs w:val="22"/>
          <w:vertAlign w:val="superscript"/>
          <w:rtl w:val="0"/>
        </w:rPr>
        <w:t xml:space="preserve"> 3, 4</w:t>
      </w:r>
      <w:r w:rsidDel="00000000" w:rsidR="00000000" w:rsidRPr="00000000">
        <w:rPr>
          <w:sz w:val="22"/>
          <w:szCs w:val="22"/>
          <w:rtl w:val="0"/>
        </w:rPr>
        <w:t xml:space="preserve">: </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of small, fragile or previously damaged veins, or altered circulation in the injected extremity</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Insertion of PIVCs at points affected by motion of limb</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Altered communication or impaired cognitive function</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Inadequate dressing and securement of the PIVC</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Lack of patency of vascular access device</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Obesity</w:t>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Large volume contrast administration via pressure injector at high injection rates</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Older age</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Female sex</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Age of existing cannula</w:t>
      </w:r>
    </w:p>
    <w:p w:rsidR="00000000" w:rsidDel="00000000" w:rsidP="00000000" w:rsidRDefault="00000000" w:rsidRPr="00000000" w14:paraId="000000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Cannula site other than antecubital fossa</w:t>
      </w:r>
    </w:p>
    <w:p w:rsidR="00000000" w:rsidDel="00000000" w:rsidP="00000000" w:rsidRDefault="00000000" w:rsidRPr="00000000" w14:paraId="0000002E">
      <w:pPr>
        <w:spacing w:after="240" w:line="240" w:lineRule="auto"/>
        <w:ind w:right="-613"/>
        <w:rPr>
          <w:sz w:val="22"/>
          <w:szCs w:val="22"/>
        </w:rPr>
      </w:pPr>
      <w:r w:rsidDel="00000000" w:rsidR="00000000" w:rsidRPr="00000000">
        <w:rPr>
          <w:sz w:val="22"/>
          <w:szCs w:val="22"/>
          <w:rtl w:val="0"/>
        </w:rPr>
        <w:t xml:space="preserve">Note: If extravasation occurs, </w:t>
      </w:r>
      <w:hyperlink r:id="rId8">
        <w:r w:rsidDel="00000000" w:rsidR="00000000" w:rsidRPr="00000000">
          <w:rPr>
            <w:color w:val="0563c1"/>
            <w:sz w:val="22"/>
            <w:szCs w:val="22"/>
            <w:u w:val="single"/>
            <w:rtl w:val="0"/>
          </w:rPr>
          <w:t xml:space="preserve">Management of Intravenous Contrast Media Extravasations</w:t>
        </w:r>
      </w:hyperlink>
      <w:r w:rsidDel="00000000" w:rsidR="00000000" w:rsidRPr="00000000">
        <w:rPr>
          <w:sz w:val="24"/>
          <w:szCs w:val="24"/>
          <w:rtl w:val="0"/>
        </w:rPr>
        <w:t xml:space="preserve"> </w:t>
      </w:r>
      <w:r w:rsidDel="00000000" w:rsidR="00000000" w:rsidRPr="00000000">
        <w:rPr>
          <w:sz w:val="22"/>
          <w:szCs w:val="22"/>
          <w:rtl w:val="0"/>
        </w:rPr>
        <w:t xml:space="preserve">procedure must be followed.</w:t>
      </w:r>
    </w:p>
    <w:p w:rsidR="00000000" w:rsidDel="00000000" w:rsidP="00000000" w:rsidRDefault="00000000" w:rsidRPr="00000000" w14:paraId="0000002F">
      <w:pPr>
        <w:spacing w:after="240" w:line="240" w:lineRule="auto"/>
        <w:ind w:right="-613"/>
        <w:rPr>
          <w:sz w:val="22"/>
          <w:szCs w:val="22"/>
        </w:rPr>
      </w:pPr>
      <w:r w:rsidDel="00000000" w:rsidR="00000000" w:rsidRPr="00000000">
        <w:rPr>
          <w:sz w:val="22"/>
          <w:szCs w:val="22"/>
          <w:rtl w:val="0"/>
        </w:rPr>
        <w:t xml:space="preserve">Extravasation events must be entered into RiskMan and documented in the affected patient’s EMR file. All radiation incidents must be entered into RiskMan for tabling at the monthly Imaging Radiation Safety Committee meeting.</w:t>
      </w:r>
    </w:p>
    <w:p w:rsidR="00000000" w:rsidDel="00000000" w:rsidP="00000000" w:rsidRDefault="00000000" w:rsidRPr="00000000" w14:paraId="00000030">
      <w:pPr>
        <w:spacing w:after="240" w:line="240" w:lineRule="auto"/>
        <w:ind w:right="-613"/>
        <w:rPr>
          <w:sz w:val="22"/>
          <w:szCs w:val="22"/>
        </w:rPr>
      </w:pPr>
      <w:r w:rsidDel="00000000" w:rsidR="00000000" w:rsidRPr="00000000">
        <w:rPr>
          <w:sz w:val="22"/>
          <w:szCs w:val="22"/>
          <w:u w:val="single"/>
          <w:rtl w:val="0"/>
        </w:rPr>
        <w:t xml:space="preserve">Contrast media hypersensitivity reactions</w:t>
      </w:r>
      <w:r w:rsidDel="00000000" w:rsidR="00000000" w:rsidRPr="00000000">
        <w:rPr>
          <w:sz w:val="22"/>
          <w:szCs w:val="22"/>
          <w:rtl w:val="0"/>
        </w:rPr>
        <w:t xml:space="preserve"> are infrequent and predominantly mild in nature. Incidence varies dependent upon contrast agent:</w:t>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Iodinated Contrast Media –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ALL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reactions 1-12%, Severe 0.01-0.2%</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5</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Gadolinium-Based Contrast Media –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ALL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reactions 0.004-0.7%, Severe 0.01%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6</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0" w:line="240" w:lineRule="auto"/>
        <w:ind w:left="43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Perflutren Contrast Media (Ultrasound) –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ALL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reactions 0.01%, Severe 0.006%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7</w:t>
      </w:r>
      <w:r w:rsidDel="00000000" w:rsidR="00000000" w:rsidRPr="00000000">
        <w:rPr>
          <w:rtl w:val="0"/>
        </w:rPr>
      </w:r>
    </w:p>
    <w:p w:rsidR="00000000" w:rsidDel="00000000" w:rsidP="00000000" w:rsidRDefault="00000000" w:rsidRPr="00000000" w14:paraId="00000034">
      <w:pPr>
        <w:spacing w:after="240" w:line="240" w:lineRule="auto"/>
        <w:ind w:left="76" w:right="-613" w:firstLine="0"/>
        <w:rPr>
          <w:sz w:val="22"/>
          <w:szCs w:val="22"/>
        </w:rPr>
      </w:pPr>
      <w:r w:rsidDel="00000000" w:rsidR="00000000" w:rsidRPr="00000000">
        <w:rPr>
          <w:sz w:val="22"/>
          <w:szCs w:val="22"/>
          <w:rtl w:val="0"/>
        </w:rPr>
        <w:t xml:space="preserve">Prior to cannulation, patients must be asked if they have a known contrast allergy or any issues following a previous examination when contrast was administered.</w:t>
      </w:r>
    </w:p>
    <w:p w:rsidR="00000000" w:rsidDel="00000000" w:rsidP="00000000" w:rsidRDefault="00000000" w:rsidRPr="00000000" w14:paraId="00000035">
      <w:pPr>
        <w:spacing w:after="240" w:line="240" w:lineRule="auto"/>
        <w:ind w:right="-613"/>
        <w:rPr>
          <w:sz w:val="22"/>
          <w:szCs w:val="22"/>
        </w:rPr>
      </w:pPr>
      <w:r w:rsidDel="00000000" w:rsidR="00000000" w:rsidRPr="00000000">
        <w:rPr>
          <w:sz w:val="22"/>
          <w:szCs w:val="22"/>
          <w:rtl w:val="0"/>
        </w:rPr>
        <w:t xml:space="preserve">Should the patient report a previous contrast reaction or there is suspicion of a contrast hypersensitivity, the referrer must discuss the need for imaging with a Radiology Registrar, Fellow or Consultant to determine if an alternative non-contrast imaging examination is sufficient OR if a substitute test performed in a different modality is appropriate OR if the prescribing of corticosteroids and/or antihistamines to reduce the likelihood of anaphylactic reaction is appropriate for the individual patient. In the event pre-medication is required, the </w:t>
      </w:r>
      <w:hyperlink r:id="rId9">
        <w:r w:rsidDel="00000000" w:rsidR="00000000" w:rsidRPr="00000000">
          <w:rPr>
            <w:color w:val="0563c1"/>
            <w:sz w:val="22"/>
            <w:szCs w:val="22"/>
            <w:u w:val="single"/>
            <w:rtl w:val="0"/>
          </w:rPr>
          <w:t xml:space="preserve">Iodinated Contrast Media Pre-medication Management for imaging procedures</w:t>
        </w:r>
      </w:hyperlink>
      <w:r w:rsidDel="00000000" w:rsidR="00000000" w:rsidRPr="00000000">
        <w:rPr>
          <w:sz w:val="22"/>
          <w:szCs w:val="22"/>
          <w:rtl w:val="0"/>
        </w:rPr>
        <w:t xml:space="preserve"> OR </w:t>
      </w:r>
      <w:hyperlink r:id="rId10">
        <w:r w:rsidDel="00000000" w:rsidR="00000000" w:rsidRPr="00000000">
          <w:rPr>
            <w:color w:val="0563c1"/>
            <w:sz w:val="22"/>
            <w:szCs w:val="22"/>
            <w:u w:val="single"/>
            <w:rtl w:val="0"/>
          </w:rPr>
          <w:t xml:space="preserve">Pre-medication for an Imaging Procedure with gadolinium-based contrast used in MRI</w:t>
        </w:r>
      </w:hyperlink>
      <w:r w:rsidDel="00000000" w:rsidR="00000000" w:rsidRPr="00000000">
        <w:rPr>
          <w:sz w:val="22"/>
          <w:szCs w:val="22"/>
          <w:rtl w:val="0"/>
        </w:rPr>
        <w:t xml:space="preserve"> procedure must be followed.</w:t>
      </w:r>
    </w:p>
    <w:p w:rsidR="00000000" w:rsidDel="00000000" w:rsidP="00000000" w:rsidRDefault="00000000" w:rsidRPr="00000000" w14:paraId="00000036">
      <w:pPr>
        <w:spacing w:after="0" w:line="240" w:lineRule="auto"/>
        <w:ind w:right="-613"/>
        <w:rPr/>
      </w:pPr>
      <w:r w:rsidDel="00000000" w:rsidR="00000000" w:rsidRPr="00000000">
        <w:rPr>
          <w:sz w:val="22"/>
          <w:szCs w:val="22"/>
          <w:rtl w:val="0"/>
        </w:rPr>
        <w:t xml:space="preserve">The cannula and extension tubing must be connected firmly and adequately secured to the patient to prevent either leakage of contrast from the connection site and/or movement during power injection of contrast, thereby reducing the risk of non-diagnostic examinations and/or extravasation and subsequent potential radiation incidents.</w:t>
      </w:r>
      <w:r w:rsidDel="00000000" w:rsidR="00000000" w:rsidRPr="00000000">
        <w:rPr>
          <w:rtl w:val="0"/>
        </w:rPr>
      </w:r>
    </w:p>
    <w:p w:rsidR="00000000" w:rsidDel="00000000" w:rsidP="00000000" w:rsidRDefault="00000000" w:rsidRPr="00000000" w14:paraId="00000037">
      <w:pPr>
        <w:spacing w:after="0" w:line="240" w:lineRule="auto"/>
        <w:ind w:right="-613"/>
        <w:rPr/>
      </w:pPr>
      <w:r w:rsidDel="00000000" w:rsidR="00000000" w:rsidRPr="00000000">
        <w:rPr>
          <w:rtl w:val="0"/>
        </w:rPr>
      </w:r>
    </w:p>
    <w:p w:rsidR="00000000" w:rsidDel="00000000" w:rsidP="00000000" w:rsidRDefault="00000000" w:rsidRPr="00000000" w14:paraId="00000038">
      <w:pPr>
        <w:pStyle w:val="Heading1"/>
        <w:ind w:hanging="284"/>
        <w:rPr/>
      </w:pPr>
      <w:bookmarkStart w:colFirst="0" w:colLast="0" w:name="_heading=h.mgg8lvz7ida7" w:id="4"/>
      <w:bookmarkEnd w:id="4"/>
      <w:r w:rsidDel="00000000" w:rsidR="00000000" w:rsidRPr="00000000">
        <w:rPr>
          <w:rtl w:val="0"/>
        </w:rPr>
        <w:t xml:space="preserve">STANDARD REQUIREMENTS </w:t>
      </w:r>
    </w:p>
    <w:p w:rsidR="00000000" w:rsidDel="00000000" w:rsidP="00000000" w:rsidRDefault="00000000" w:rsidRPr="00000000" w14:paraId="00000039">
      <w:pPr>
        <w:spacing w:after="240" w:line="240" w:lineRule="auto"/>
        <w:ind w:left="-284" w:right="-613" w:firstLine="0"/>
        <w:rPr>
          <w:color w:val="000000"/>
          <w:sz w:val="22"/>
          <w:szCs w:val="22"/>
        </w:rPr>
      </w:pPr>
      <w:r w:rsidDel="00000000" w:rsidR="00000000" w:rsidRPr="00000000">
        <w:rPr>
          <w:color w:val="000000"/>
          <w:sz w:val="22"/>
          <w:szCs w:val="22"/>
          <w:rtl w:val="0"/>
        </w:rPr>
        <w:t xml:space="preserve">When undertaking any clinical interaction with a patient, staff are expected to:</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613"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Perform routine hand hygiene. Refer to the </w:t>
      </w:r>
      <w:hyperlink r:id="rId11">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Hand Hygiene Procedure</w:t>
        </w:r>
      </w:hyperlink>
      <w:r w:rsidDel="00000000" w:rsidR="00000000" w:rsidRPr="00000000">
        <w:rPr>
          <w:rFonts w:ascii="Calibri" w:cs="Calibri" w:eastAsia="Calibri" w:hAnsi="Calibri"/>
          <w:b w:val="0"/>
          <w:bCs w:val="0"/>
          <w:i w:val="0"/>
          <w:iCs w:val="0"/>
          <w:smallCaps w:val="0"/>
          <w:strike w:val="0"/>
          <w:color w:val="1f497d"/>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613"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Introduce themselves to the Patient and Carer/Family if in attendance.</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613"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Explain what their role is and what you are there for</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613"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Check patient identification. Refer to the </w:t>
      </w:r>
      <w:hyperlink r:id="rId12">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Patient Identification Procedure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613" w:hanging="567"/>
        <w:jc w:val="left"/>
        <w:rPr>
          <w:rFonts w:ascii="Calibri" w:cs="Calibri" w:eastAsia="Calibri" w:hAnsi="Calibri"/>
          <w:b w:val="0"/>
          <w:bCs w:val="0"/>
          <w:i w:val="0"/>
          <w:iCs w:val="0"/>
          <w:smallCaps w:val="0"/>
          <w:strike w:val="0"/>
          <w:color w:val="0563c1"/>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Obtain verbal consent as per the </w:t>
      </w:r>
      <w:hyperlink r:id="rId13">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Consent to Medical Treatment Procedure.</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613"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the patient/carer informed and involve them in decision making.</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283" w:right="-613"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PIVC insertion in the EMR</w:t>
      </w:r>
    </w:p>
    <w:p w:rsidR="00000000" w:rsidDel="00000000" w:rsidP="00000000" w:rsidRDefault="00000000" w:rsidRPr="00000000" w14:paraId="00000041">
      <w:pPr>
        <w:spacing w:after="240" w:line="240" w:lineRule="auto"/>
        <w:ind w:right="-613"/>
        <w:rPr/>
      </w:pPr>
      <w:r w:rsidDel="00000000" w:rsidR="00000000" w:rsidRPr="00000000">
        <w:rPr>
          <w:rtl w:val="0"/>
        </w:rPr>
      </w:r>
    </w:p>
    <w:p w:rsidR="00000000" w:rsidDel="00000000" w:rsidP="00000000" w:rsidRDefault="00000000" w:rsidRPr="00000000" w14:paraId="00000042">
      <w:pPr>
        <w:pStyle w:val="Heading1"/>
        <w:ind w:left="-142" w:firstLine="0"/>
        <w:rPr/>
      </w:pPr>
      <w:bookmarkStart w:colFirst="0" w:colLast="0" w:name="_heading=h.bc0gmcfx614h" w:id="5"/>
      <w:bookmarkEnd w:id="5"/>
      <w:r w:rsidDel="00000000" w:rsidR="00000000" w:rsidRPr="00000000">
        <w:rPr>
          <w:rtl w:val="0"/>
        </w:rPr>
        <w:t xml:space="preserve">PROCEDURE</w:t>
      </w:r>
    </w:p>
    <w:p w:rsidR="00000000" w:rsidDel="00000000" w:rsidP="00000000" w:rsidRDefault="00000000" w:rsidRPr="00000000" w14:paraId="00000043">
      <w:pPr>
        <w:spacing w:after="0" w:line="240" w:lineRule="auto"/>
        <w:ind w:right="-613"/>
        <w:rPr>
          <w:sz w:val="22"/>
          <w:szCs w:val="22"/>
        </w:rPr>
      </w:pPr>
      <w:r w:rsidDel="00000000" w:rsidR="00000000" w:rsidRPr="00000000">
        <w:rPr>
          <w:sz w:val="22"/>
          <w:szCs w:val="22"/>
          <w:rtl w:val="0"/>
        </w:rPr>
        <w:t xml:space="preserve">PIVC gauge and location is to be considered on a case-by-case basis for each patient and requested examination. Whenever possible, areas of flexion must be avoided, as per the ACSQHC Management of Peripheral Intravenous Cannulas Clinical Care Standard. If unsure of the cannula size and required insertion site, please discuss with the relevant Medical Imaging Technologists/Nuclear Medicine Technologists /Sonographers prior to inserting the cannula.</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 w:right="-61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spacing w:after="0" w:line="240" w:lineRule="auto"/>
        <w:ind w:right="-613"/>
        <w:rPr/>
      </w:pPr>
      <w:r w:rsidDel="00000000" w:rsidR="00000000" w:rsidRPr="00000000">
        <w:rPr>
          <w:rtl w:val="0"/>
        </w:rPr>
        <w:t xml:space="preserve">FACTORS TO BE CONSIDERED FOR SITE SELECTION AND CANNULA GAUGE</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03" w:right="-613"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Requested radiology examination </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03" w:right="-613"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Availability of suitable vessels for cannulation</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03" w:right="-613"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Urgency to obtain intravenous access</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03" w:right="-613"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PIVC will be used for additional treatment (rapid fluid infusion)</w:t>
      </w:r>
    </w:p>
    <w:p w:rsidR="00000000" w:rsidDel="00000000" w:rsidP="00000000" w:rsidRDefault="00000000" w:rsidRPr="00000000" w14:paraId="0000004A">
      <w:pPr>
        <w:spacing w:after="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04B">
      <w:pPr>
        <w:spacing w:after="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04C">
      <w:pPr>
        <w:spacing w:after="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04D">
      <w:pPr>
        <w:spacing w:after="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04E">
      <w:pPr>
        <w:spacing w:after="0" w:line="240" w:lineRule="auto"/>
        <w:ind w:left="-284" w:right="-612" w:firstLine="0"/>
        <w:rPr>
          <w:sz w:val="22"/>
          <w:szCs w:val="22"/>
        </w:rPr>
      </w:pPr>
      <w:r w:rsidDel="00000000" w:rsidR="00000000" w:rsidRPr="00000000">
        <w:rPr/>
        <w:drawing>
          <wp:inline distB="0" distT="0" distL="0" distR="0">
            <wp:extent cx="5731510" cy="5625465"/>
            <wp:effectExtent b="0" l="0" r="0" t="0"/>
            <wp:docPr id="8"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731510" cy="5625465"/>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spacing w:after="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050">
      <w:pPr>
        <w:spacing w:after="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051">
      <w:pPr>
        <w:pStyle w:val="Heading1"/>
        <w:ind w:hanging="284"/>
        <w:rPr/>
      </w:pPr>
      <w:bookmarkStart w:colFirst="0" w:colLast="0" w:name="_heading=h.dvcy3iw4tfrn" w:id="6"/>
      <w:bookmarkEnd w:id="6"/>
      <w:r w:rsidDel="00000000" w:rsidR="00000000" w:rsidRPr="00000000">
        <w:rPr>
          <w:rtl w:val="0"/>
        </w:rPr>
        <w:t xml:space="preserve">RELATED DOCUMENTATION </w:t>
      </w:r>
    </w:p>
    <w:p w:rsidR="00000000" w:rsidDel="00000000" w:rsidP="00000000" w:rsidRDefault="00000000" w:rsidRPr="00000000" w14:paraId="00000052">
      <w:pPr>
        <w:spacing w:after="240" w:line="240" w:lineRule="auto"/>
        <w:ind w:left="-284" w:right="-612" w:firstLine="0"/>
        <w:rPr>
          <w:color w:val="0563c1"/>
          <w:sz w:val="22"/>
          <w:szCs w:val="22"/>
          <w:u w:val="single"/>
        </w:rPr>
      </w:pPr>
      <w:hyperlink r:id="rId15">
        <w:r w:rsidDel="00000000" w:rsidR="00000000" w:rsidRPr="00000000">
          <w:rPr>
            <w:color w:val="0563c1"/>
            <w:sz w:val="22"/>
            <w:szCs w:val="22"/>
            <w:u w:val="single"/>
            <w:rtl w:val="0"/>
          </w:rPr>
          <w:t xml:space="preserve">Peripheral Intravenous Cannula (PIVC) Insertion, Assessment and Management (Adult)</w:t>
        </w:r>
      </w:hyperlink>
      <w:r w:rsidDel="00000000" w:rsidR="00000000" w:rsidRPr="00000000">
        <w:rPr>
          <w:color w:val="0563c1"/>
          <w:sz w:val="22"/>
          <w:szCs w:val="22"/>
          <w:u w:val="single"/>
          <w:rtl w:val="0"/>
        </w:rPr>
        <w:t xml:space="preserve"> </w:t>
      </w:r>
    </w:p>
    <w:p w:rsidR="00000000" w:rsidDel="00000000" w:rsidP="00000000" w:rsidRDefault="00000000" w:rsidRPr="00000000" w14:paraId="00000053">
      <w:pPr>
        <w:pStyle w:val="Heading1"/>
        <w:ind w:hanging="284"/>
        <w:rPr/>
      </w:pPr>
      <w:r w:rsidDel="00000000" w:rsidR="00000000" w:rsidRPr="00000000">
        <w:rPr>
          <w:rtl w:val="0"/>
        </w:rPr>
      </w:r>
    </w:p>
    <w:p w:rsidR="00000000" w:rsidDel="00000000" w:rsidP="00000000" w:rsidRDefault="00000000" w:rsidRPr="00000000" w14:paraId="00000054">
      <w:pPr>
        <w:pStyle w:val="Heading1"/>
        <w:ind w:hanging="284"/>
        <w:rPr/>
      </w:pPr>
      <w:bookmarkStart w:colFirst="0" w:colLast="0" w:name="_heading=h.wgzxe03chktr" w:id="7"/>
      <w:bookmarkEnd w:id="7"/>
      <w:r w:rsidDel="00000000" w:rsidR="00000000" w:rsidRPr="00000000">
        <w:rPr>
          <w:rtl w:val="0"/>
        </w:rPr>
        <w:t xml:space="preserve">KEY STANDARDS, GUIDELINES OR LEGISLATION </w:t>
      </w:r>
    </w:p>
    <w:p w:rsidR="00000000" w:rsidDel="00000000" w:rsidP="00000000" w:rsidRDefault="00000000" w:rsidRPr="00000000" w14:paraId="00000055">
      <w:pPr>
        <w:spacing w:after="240" w:line="240" w:lineRule="auto"/>
        <w:ind w:left="-284" w:right="-612" w:firstLine="0"/>
        <w:rPr>
          <w:i w:val="1"/>
          <w:iCs w:val="1"/>
          <w:sz w:val="22"/>
          <w:szCs w:val="22"/>
        </w:rPr>
      </w:pPr>
      <w:r w:rsidDel="00000000" w:rsidR="00000000" w:rsidRPr="00000000">
        <w:rPr>
          <w:sz w:val="22"/>
          <w:szCs w:val="22"/>
          <w:rtl w:val="0"/>
        </w:rPr>
        <w:t xml:space="preserve">Australian Commission on Safety and Quality in Health Care (2021). </w:t>
      </w:r>
      <w:r w:rsidDel="00000000" w:rsidR="00000000" w:rsidRPr="00000000">
        <w:rPr>
          <w:i w:val="1"/>
          <w:iCs w:val="1"/>
          <w:sz w:val="22"/>
          <w:szCs w:val="22"/>
          <w:rtl w:val="0"/>
        </w:rPr>
        <w:t xml:space="preserve">Management of Peripheral Intravenous Cannulas Clinical Care Standard</w:t>
      </w:r>
    </w:p>
    <w:p w:rsidR="00000000" w:rsidDel="00000000" w:rsidP="00000000" w:rsidRDefault="00000000" w:rsidRPr="00000000" w14:paraId="00000056">
      <w:pPr>
        <w:spacing w:after="240" w:line="240" w:lineRule="auto"/>
        <w:ind w:left="-284" w:right="-612" w:firstLine="0"/>
        <w:rPr>
          <w:rFonts w:ascii="Arial" w:cs="Arial" w:eastAsia="Arial" w:hAnsi="Arial"/>
          <w:i w:val="1"/>
          <w:iCs w:val="1"/>
          <w:sz w:val="22"/>
          <w:szCs w:val="22"/>
        </w:rPr>
      </w:pPr>
      <w:r w:rsidDel="00000000" w:rsidR="00000000" w:rsidRPr="00000000">
        <w:rPr>
          <w:sz w:val="22"/>
          <w:szCs w:val="22"/>
          <w:rtl w:val="0"/>
        </w:rPr>
        <w:t xml:space="preserve">Australian Commission on Safety and Quality in Health Care NSQHS Standards (2</w:t>
      </w:r>
      <w:r w:rsidDel="00000000" w:rsidR="00000000" w:rsidRPr="00000000">
        <w:rPr>
          <w:sz w:val="22"/>
          <w:szCs w:val="22"/>
          <w:vertAlign w:val="superscript"/>
          <w:rtl w:val="0"/>
        </w:rPr>
        <w:t xml:space="preserve">nd</w:t>
      </w:r>
      <w:r w:rsidDel="00000000" w:rsidR="00000000" w:rsidRPr="00000000">
        <w:rPr>
          <w:sz w:val="22"/>
          <w:szCs w:val="22"/>
          <w:rtl w:val="0"/>
        </w:rPr>
        <w:t xml:space="preserve"> Edition) (updated May 2021). </w:t>
      </w:r>
      <w:r w:rsidDel="00000000" w:rsidR="00000000" w:rsidRPr="00000000">
        <w:rPr>
          <w:i w:val="1"/>
          <w:iCs w:val="1"/>
          <w:sz w:val="22"/>
          <w:szCs w:val="22"/>
          <w:rtl w:val="0"/>
        </w:rPr>
        <w:t xml:space="preserve">National Standard 3: Preventing and Controlling Healthcare-Associated Infection Standard</w:t>
      </w:r>
      <w:r w:rsidDel="00000000" w:rsidR="00000000" w:rsidRPr="00000000">
        <w:rPr>
          <w:rtl w:val="0"/>
        </w:rPr>
      </w:r>
    </w:p>
    <w:p w:rsidR="00000000" w:rsidDel="00000000" w:rsidP="00000000" w:rsidRDefault="00000000" w:rsidRPr="00000000" w14:paraId="00000057">
      <w:pPr>
        <w:pStyle w:val="Heading1"/>
        <w:ind w:hanging="284"/>
        <w:rPr/>
      </w:pPr>
      <w:bookmarkStart w:colFirst="0" w:colLast="0" w:name="_heading=h.su8drtxzdsmd" w:id="8"/>
      <w:bookmarkEnd w:id="8"/>
      <w:r w:rsidDel="00000000" w:rsidR="00000000" w:rsidRPr="00000000">
        <w:rPr>
          <w:rtl w:val="0"/>
        </w:rPr>
        <w:t xml:space="preserve">REFERENCES </w:t>
      </w:r>
    </w:p>
    <w:p w:rsidR="00000000" w:rsidDel="00000000" w:rsidP="00000000" w:rsidRDefault="00000000" w:rsidRPr="00000000" w14:paraId="0000005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Royal Australian and New Zealand College of Radiologists. Iodinated Contrast Media Guideline. Sydney: RANZCR; 2018</w:t>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Department of Health Victoria. Mandatory reporting of radiation incidents – Management Licence holder’s obligations. Jan 2022 https://www.health.vic.gov.au/publications/mandatory-reporting-of-radiation-incidents</w:t>
      </w:r>
    </w:p>
    <w:p w:rsidR="00000000" w:rsidDel="00000000" w:rsidP="00000000" w:rsidRDefault="00000000" w:rsidRPr="00000000" w14:paraId="0000005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NSW Government. eviQ Education. Extravasation V3. 2022</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Behzadi AH, Farooq Z, Newhouse JH, Prince MR. (2018). MRI and CT contrast media extravasation. A systematic review. Medicine (2018) 97:9(e0055)</w:t>
      </w:r>
    </w:p>
    <w:p w:rsidR="00000000" w:rsidDel="00000000" w:rsidP="00000000" w:rsidRDefault="00000000" w:rsidRPr="00000000" w14:paraId="0000005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6" w:right="-613"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1b1b1b"/>
          <w:sz w:val="22"/>
          <w:szCs w:val="22"/>
          <w:highlight w:val="white"/>
          <w:u w:val="none"/>
          <w:vertAlign w:val="baseline"/>
          <w:rtl w:val="0"/>
        </w:rPr>
        <w:t xml:space="preserve">Bottinor W, Polkampally P, Jovin I. Adverse reactions to iodinated contrast media. Int J Angiol. 2013 Sep;22(3):149-54. doi: 10.1055/s-0033-1348885. PMID: 24436602; PMCID: PMC3770975.</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Gracia Bara et al (2022) Hypersensitivity to Gadolinium-Based Contrast Media. Front. Allergy 3:813927 doi:10.3389/falgy.2022.813927</w:t>
      </w:r>
    </w:p>
    <w:p w:rsidR="00000000" w:rsidDel="00000000" w:rsidP="00000000" w:rsidRDefault="00000000" w:rsidRPr="00000000" w14:paraId="0000005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Wei et al (2008). The safety of Definity and Optison for Ultrasound image enhancement: A retrospective analysis of 78,383 administered contrast doses. JASE 21(11):1202-1206.</w:t>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Kingston RJ, Young N, Sindhusake DP, Truong M. (2012). Study of patients with intravenous contrast extravasation on CT studies, with radiology staff and ward staff cannulations. Journal of Medical Imaging and Radiation Oncology 56:163-167.</w:t>
      </w:r>
    </w:p>
    <w:p w:rsidR="00000000" w:rsidDel="00000000" w:rsidP="00000000" w:rsidRDefault="00000000" w:rsidRPr="00000000" w14:paraId="0000006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Marshall T, Chen NM, Nguyen E, Slattery DE, Zitek T. (2019). Rethinking Intravenous Catheter Size and Location for Computed Tomography Pulmonary Angiography. Western Journal of Emergency Medicine volume 20, no.2: March 2019</w:t>
      </w:r>
    </w:p>
    <w:p w:rsidR="00000000" w:rsidDel="00000000" w:rsidP="00000000" w:rsidRDefault="00000000" w:rsidRPr="00000000" w14:paraId="0000006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76" w:right="-613"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Ray-Burruel G, Alexander M. (2023). Evidence-based practice for peripheral intravenous catheter management. American Journal of Nursing (2023), 123(1), 32-37.</w:t>
      </w:r>
    </w:p>
    <w:p w:rsidR="00000000" w:rsidDel="00000000" w:rsidP="00000000" w:rsidRDefault="00000000" w:rsidRPr="00000000" w14:paraId="00000062">
      <w:pPr>
        <w:spacing w:after="24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063">
      <w:pPr>
        <w:spacing w:after="24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064">
      <w:pPr>
        <w:spacing w:after="24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065">
      <w:pPr>
        <w:spacing w:after="240" w:line="240" w:lineRule="auto"/>
        <w:ind w:left="-284" w:right="-612" w:firstLine="0"/>
        <w:rPr>
          <w:sz w:val="22"/>
          <w:szCs w:val="22"/>
        </w:rPr>
      </w:pPr>
      <w:r w:rsidDel="00000000" w:rsidR="00000000" w:rsidRPr="00000000">
        <w:rPr>
          <w:rtl w:val="0"/>
        </w:rPr>
      </w:r>
    </w:p>
    <w:tbl>
      <w:tblPr>
        <w:tblStyle w:val="Table2"/>
        <w:tblW w:w="9923.0" w:type="dxa"/>
        <w:jc w:val="left"/>
        <w:tblInd w:w="-284.0" w:type="dxa"/>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2694"/>
        <w:gridCol w:w="7229"/>
        <w:tblGridChange w:id="0">
          <w:tblGrid>
            <w:gridCol w:w="2694"/>
            <w:gridCol w:w="7229"/>
          </w:tblGrid>
        </w:tblGridChange>
      </w:tblGrid>
      <w:tr>
        <w:trPr>
          <w:cantSplit w:val="0"/>
          <w:trHeight w:val="374" w:hRule="atLeast"/>
          <w:tblHeader w:val="0"/>
        </w:trPr>
        <w:tc>
          <w:tcPr>
            <w:gridSpan w:val="2"/>
            <w:shd w:fill="00b0f0" w:val="clear"/>
            <w:vAlign w:val="center"/>
          </w:tcPr>
          <w:p w:rsidR="00000000" w:rsidDel="00000000" w:rsidP="00000000" w:rsidRDefault="00000000" w:rsidRPr="00000000" w14:paraId="00000066">
            <w:pPr>
              <w:spacing w:after="40" w:before="40" w:lineRule="auto"/>
              <w:ind w:right="51"/>
              <w:rPr>
                <w:b w:val="1"/>
                <w:bCs w:val="1"/>
                <w:color w:val="ffffff"/>
                <w:sz w:val="20"/>
                <w:szCs w:val="20"/>
              </w:rPr>
            </w:pPr>
            <w:r w:rsidDel="00000000" w:rsidR="00000000" w:rsidRPr="00000000">
              <w:rPr>
                <w:b w:val="1"/>
                <w:bCs w:val="1"/>
                <w:color w:val="ffffff"/>
                <w:sz w:val="20"/>
                <w:szCs w:val="20"/>
                <w:rtl w:val="0"/>
              </w:rPr>
              <w:t xml:space="preserve">Document governance</w:t>
            </w:r>
          </w:p>
        </w:tc>
      </w:tr>
      <w:tr>
        <w:trPr>
          <w:cantSplit w:val="0"/>
          <w:trHeight w:val="624" w:hRule="atLeast"/>
          <w:tblHeader w:val="0"/>
        </w:trPr>
        <w:tc>
          <w:tcPr>
            <w:shd w:fill="f0efee" w:val="clear"/>
            <w:vAlign w:val="center"/>
          </w:tcPr>
          <w:p w:rsidR="00000000" w:rsidDel="00000000" w:rsidP="00000000" w:rsidRDefault="00000000" w:rsidRPr="00000000" w14:paraId="00000068">
            <w:pPr>
              <w:spacing w:after="40" w:before="40" w:lineRule="auto"/>
              <w:rPr>
                <w:sz w:val="18"/>
                <w:szCs w:val="18"/>
              </w:rPr>
            </w:pPr>
            <w:r w:rsidDel="00000000" w:rsidR="00000000" w:rsidRPr="00000000">
              <w:rPr>
                <w:b w:val="1"/>
                <w:bCs w:val="1"/>
                <w:sz w:val="18"/>
                <w:szCs w:val="18"/>
                <w:rtl w:val="0"/>
              </w:rPr>
              <w:t xml:space="preserve">Policy or Framework supported by this Procedure</w:t>
            </w:r>
            <w:r w:rsidDel="00000000" w:rsidR="00000000" w:rsidRPr="00000000">
              <w:rPr>
                <w:rtl w:val="0"/>
              </w:rPr>
            </w:r>
          </w:p>
        </w:tc>
        <w:tc>
          <w:tcPr>
            <w:vAlign w:val="center"/>
          </w:tcPr>
          <w:p w:rsidR="00000000" w:rsidDel="00000000" w:rsidP="00000000" w:rsidRDefault="00000000" w:rsidRPr="00000000" w14:paraId="00000069">
            <w:pPr>
              <w:spacing w:after="40" w:before="40" w:lineRule="auto"/>
              <w:rPr>
                <w:sz w:val="20"/>
                <w:szCs w:val="20"/>
              </w:rPr>
            </w:pPr>
            <w:hyperlink r:id="rId16">
              <w:r w:rsidDel="00000000" w:rsidR="00000000" w:rsidRPr="00000000">
                <w:rPr>
                  <w:rFonts w:ascii="Montserrat" w:cs="Montserrat" w:eastAsia="Montserrat" w:hAnsi="Montserrat"/>
                  <w:color w:val="007bff"/>
                  <w:sz w:val="18"/>
                  <w:szCs w:val="18"/>
                  <w:u w:val="single"/>
                  <w:rtl w:val="0"/>
                </w:rPr>
                <w:t xml:space="preserve">High Quality Care (Policy)</w:t>
              </w:r>
            </w:hyperlink>
            <w:r w:rsidDel="00000000" w:rsidR="00000000" w:rsidRPr="00000000">
              <w:rPr>
                <w:rtl w:val="0"/>
              </w:rPr>
            </w:r>
          </w:p>
        </w:tc>
      </w:tr>
      <w:tr>
        <w:trPr>
          <w:cantSplit w:val="0"/>
          <w:trHeight w:val="624" w:hRule="atLeast"/>
          <w:tblHeader w:val="0"/>
        </w:trPr>
        <w:tc>
          <w:tcPr>
            <w:shd w:fill="f0efee" w:val="clear"/>
            <w:vAlign w:val="center"/>
          </w:tcPr>
          <w:p w:rsidR="00000000" w:rsidDel="00000000" w:rsidP="00000000" w:rsidRDefault="00000000" w:rsidRPr="00000000" w14:paraId="0000006A">
            <w:pPr>
              <w:spacing w:after="40" w:before="40" w:lineRule="auto"/>
              <w:rPr>
                <w:b w:val="1"/>
                <w:bCs w:val="1"/>
                <w:sz w:val="18"/>
                <w:szCs w:val="18"/>
              </w:rPr>
            </w:pPr>
            <w:r w:rsidDel="00000000" w:rsidR="00000000" w:rsidRPr="00000000">
              <w:rPr>
                <w:b w:val="1"/>
                <w:bCs w:val="1"/>
                <w:sz w:val="18"/>
                <w:szCs w:val="18"/>
                <w:rtl w:val="0"/>
              </w:rPr>
              <w:t xml:space="preserve">Executive Sponsor</w:t>
            </w:r>
          </w:p>
        </w:tc>
        <w:tc>
          <w:tcPr>
            <w:vAlign w:val="center"/>
          </w:tcPr>
          <w:p w:rsidR="00000000" w:rsidDel="00000000" w:rsidP="00000000" w:rsidRDefault="00000000" w:rsidRPr="00000000" w14:paraId="0000006B">
            <w:pPr>
              <w:spacing w:after="40" w:before="40" w:lineRule="auto"/>
              <w:rPr>
                <w:sz w:val="20"/>
                <w:szCs w:val="20"/>
              </w:rPr>
            </w:pPr>
            <w:r w:rsidDel="00000000" w:rsidR="00000000" w:rsidRPr="00000000">
              <w:rPr>
                <w:sz w:val="20"/>
                <w:szCs w:val="20"/>
                <w:rtl w:val="0"/>
              </w:rPr>
              <w:t xml:space="preserve">Deputy Program Director – Monash Health Radiology </w:t>
            </w:r>
          </w:p>
        </w:tc>
      </w:tr>
      <w:tr>
        <w:trPr>
          <w:cantSplit w:val="0"/>
          <w:trHeight w:val="624" w:hRule="atLeast"/>
          <w:tblHeader w:val="0"/>
        </w:trPr>
        <w:tc>
          <w:tcPr>
            <w:shd w:fill="f0efee" w:val="clear"/>
            <w:vAlign w:val="center"/>
          </w:tcPr>
          <w:p w:rsidR="00000000" w:rsidDel="00000000" w:rsidP="00000000" w:rsidRDefault="00000000" w:rsidRPr="00000000" w14:paraId="0000006C">
            <w:pPr>
              <w:spacing w:after="40" w:before="40" w:lineRule="auto"/>
              <w:rPr>
                <w:b w:val="1"/>
                <w:bCs w:val="1"/>
                <w:color w:val="000000"/>
                <w:sz w:val="18"/>
                <w:szCs w:val="18"/>
              </w:rPr>
            </w:pPr>
            <w:r w:rsidDel="00000000" w:rsidR="00000000" w:rsidRPr="00000000">
              <w:rPr>
                <w:b w:val="1"/>
                <w:bCs w:val="1"/>
                <w:color w:val="000000"/>
                <w:sz w:val="18"/>
                <w:szCs w:val="18"/>
                <w:rtl w:val="0"/>
              </w:rPr>
              <w:t xml:space="preserve">Responsible Program, Service, Unit, Department or Committee</w:t>
            </w:r>
          </w:p>
        </w:tc>
        <w:tc>
          <w:tcPr>
            <w:vAlign w:val="center"/>
          </w:tcPr>
          <w:p w:rsidR="00000000" w:rsidDel="00000000" w:rsidP="00000000" w:rsidRDefault="00000000" w:rsidRPr="00000000" w14:paraId="0000006D">
            <w:pPr>
              <w:spacing w:after="40" w:before="40" w:lineRule="auto"/>
              <w:rPr>
                <w:color w:val="000000"/>
                <w:sz w:val="20"/>
                <w:szCs w:val="20"/>
              </w:rPr>
            </w:pPr>
            <w:r w:rsidDel="00000000" w:rsidR="00000000" w:rsidRPr="00000000">
              <w:rPr>
                <w:color w:val="000000"/>
                <w:sz w:val="20"/>
                <w:szCs w:val="20"/>
                <w:rtl w:val="0"/>
              </w:rPr>
              <w:t xml:space="preserve">Monash Health Radiology</w:t>
            </w:r>
          </w:p>
        </w:tc>
      </w:tr>
      <w:tr>
        <w:trPr>
          <w:cantSplit w:val="0"/>
          <w:trHeight w:val="624" w:hRule="atLeast"/>
          <w:tblHeader w:val="0"/>
        </w:trPr>
        <w:tc>
          <w:tcPr>
            <w:shd w:fill="f0efee" w:val="clear"/>
            <w:vAlign w:val="center"/>
          </w:tcPr>
          <w:p w:rsidR="00000000" w:rsidDel="00000000" w:rsidP="00000000" w:rsidRDefault="00000000" w:rsidRPr="00000000" w14:paraId="0000006E">
            <w:pPr>
              <w:spacing w:after="40" w:before="40" w:lineRule="auto"/>
              <w:rPr>
                <w:b w:val="1"/>
                <w:bCs w:val="1"/>
                <w:color w:val="000000"/>
                <w:sz w:val="18"/>
                <w:szCs w:val="18"/>
              </w:rPr>
            </w:pPr>
            <w:r w:rsidDel="00000000" w:rsidR="00000000" w:rsidRPr="00000000">
              <w:rPr>
                <w:b w:val="1"/>
                <w:bCs w:val="1"/>
                <w:color w:val="000000"/>
                <w:sz w:val="18"/>
                <w:szCs w:val="18"/>
                <w:rtl w:val="0"/>
              </w:rPr>
              <w:t xml:space="preserve">Primary Contact</w:t>
            </w:r>
          </w:p>
        </w:tc>
        <w:tc>
          <w:tcPr>
            <w:vAlign w:val="center"/>
          </w:tcPr>
          <w:p w:rsidR="00000000" w:rsidDel="00000000" w:rsidP="00000000" w:rsidRDefault="00000000" w:rsidRPr="00000000" w14:paraId="0000006F">
            <w:pPr>
              <w:spacing w:after="40" w:before="40" w:lineRule="auto"/>
              <w:rPr>
                <w:color w:val="000000"/>
                <w:sz w:val="20"/>
                <w:szCs w:val="20"/>
              </w:rPr>
            </w:pPr>
            <w:r w:rsidDel="00000000" w:rsidR="00000000" w:rsidRPr="00000000">
              <w:rPr>
                <w:sz w:val="20"/>
                <w:szCs w:val="20"/>
                <w:rtl w:val="0"/>
              </w:rPr>
              <w:t xml:space="preserve">Dana Jackson – Network CT Supervisor</w:t>
            </w:r>
            <w:r w:rsidDel="00000000" w:rsidR="00000000" w:rsidRPr="00000000">
              <w:rPr>
                <w:rtl w:val="0"/>
              </w:rPr>
            </w:r>
          </w:p>
        </w:tc>
      </w:tr>
    </w:tbl>
    <w:p w:rsidR="00000000" w:rsidDel="00000000" w:rsidP="00000000" w:rsidRDefault="00000000" w:rsidRPr="00000000" w14:paraId="00000070">
      <w:pPr>
        <w:tabs>
          <w:tab w:val="left" w:leader="none" w:pos="1005"/>
        </w:tabs>
        <w:rPr>
          <w:sz w:val="22"/>
          <w:szCs w:val="22"/>
        </w:rPr>
      </w:pPr>
      <w:r w:rsidDel="00000000" w:rsidR="00000000" w:rsidRPr="00000000">
        <w:rPr>
          <w:rtl w:val="0"/>
        </w:rPr>
      </w:r>
    </w:p>
    <w:sectPr>
      <w:headerReference r:id="rId17" w:type="default"/>
      <w:headerReference r:id="rId18" w:type="first"/>
      <w:headerReference r:id="rId19" w:type="even"/>
      <w:footerReference r:id="rId20" w:type="default"/>
      <w:footerReference r:id="rId21" w:type="first"/>
      <w:footerReference r:id="rId22" w:type="even"/>
      <w:pgSz w:h="16838" w:w="11906" w:orient="portrait"/>
      <w:pgMar w:bottom="992" w:top="567" w:left="1440" w:right="1440" w:header="425" w:footer="28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spacing w:after="0" w:lineRule="auto"/>
      <w:ind w:left="-284" w:firstLine="0"/>
      <w:rPr/>
    </w:pPr>
    <w:r w:rsidDel="00000000" w:rsidR="00000000" w:rsidRPr="00000000">
      <w:rPr>
        <w:rtl w:val="0"/>
      </w:rPr>
    </w:r>
  </w:p>
  <w:tbl>
    <w:tblPr>
      <w:tblStyle w:val="Table4"/>
      <w:tblW w:w="10206.0" w:type="dxa"/>
      <w:jc w:val="left"/>
      <w:tblInd w:w="-289.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402"/>
      <w:gridCol w:w="3402"/>
      <w:gridCol w:w="3402"/>
      <w:tblGridChange w:id="0">
        <w:tblGrid>
          <w:gridCol w:w="3402"/>
          <w:gridCol w:w="3402"/>
          <w:gridCol w:w="3402"/>
        </w:tblGrid>
      </w:tblGridChange>
    </w:tblGrid>
    <w:tr>
      <w:trPr>
        <w:cantSplit w:val="0"/>
        <w:trHeight w:val="274" w:hRule="atLeast"/>
        <w:tblHeader w:val="0"/>
      </w:trPr>
      <w:tc>
        <w:tcPr>
          <w:gridSpan w:val="3"/>
          <w:vAlign w:val="center"/>
        </w:tcPr>
        <w:p w:rsidR="00000000" w:rsidDel="00000000" w:rsidP="00000000" w:rsidRDefault="00000000" w:rsidRPr="00000000" w14:paraId="0000007A">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PROMPT Doc No: &lt;#doc_num&gt; v&lt;#ver_num&gt;  </w:t>
          </w:r>
        </w:p>
      </w:tc>
    </w:tr>
    <w:tr>
      <w:trPr>
        <w:cantSplit w:val="0"/>
        <w:trHeight w:val="96" w:hRule="atLeast"/>
        <w:tblHeader w:val="0"/>
      </w:trPr>
      <w:tc>
        <w:tcPr>
          <w:vAlign w:val="center"/>
        </w:tcPr>
        <w:p w:rsidR="00000000" w:rsidDel="00000000" w:rsidP="00000000" w:rsidRDefault="00000000" w:rsidRPr="00000000" w14:paraId="0000007D">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Date loaded on PROMPT: &lt;#issue_date&gt;</w:t>
          </w:r>
        </w:p>
      </w:tc>
      <w:tc>
        <w:tcPr/>
        <w:p w:rsidR="00000000" w:rsidDel="00000000" w:rsidP="00000000" w:rsidRDefault="00000000" w:rsidRPr="00000000" w14:paraId="0000007E">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Page </w:t>
          </w:r>
          <w:r w:rsidDel="00000000" w:rsidR="00000000" w:rsidRPr="00000000">
            <w:rPr>
              <w:rFonts w:ascii="Arial" w:cs="Arial" w:eastAsia="Arial" w:hAnsi="Arial"/>
              <w:color w:val="999999"/>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999999"/>
              <w:sz w:val="16"/>
              <w:szCs w:val="16"/>
              <w:rtl w:val="0"/>
            </w:rPr>
            <w:t xml:space="preserve"> of </w:t>
          </w:r>
          <w:r w:rsidDel="00000000" w:rsidR="00000000" w:rsidRPr="00000000">
            <w:rPr>
              <w:rFonts w:ascii="Arial" w:cs="Arial" w:eastAsia="Arial" w:hAnsi="Arial"/>
              <w:color w:val="999999"/>
              <w:sz w:val="16"/>
              <w:szCs w:val="16"/>
            </w:rPr>
            <w:fldChar w:fldCharType="begin"/>
            <w:instrText xml:space="preserve">NUMPAGES</w:instrText>
            <w:fldChar w:fldCharType="separate"/>
            <w:fldChar w:fldCharType="end"/>
          </w:r>
          <w:r w:rsidDel="00000000" w:rsidR="00000000" w:rsidRPr="00000000">
            <w:rPr>
              <w:rtl w:val="0"/>
            </w:rPr>
          </w:r>
        </w:p>
      </w:tc>
      <w:tc>
        <w:tcPr/>
        <w:p w:rsidR="00000000" w:rsidDel="00000000" w:rsidP="00000000" w:rsidRDefault="00000000" w:rsidRPr="00000000" w14:paraId="0000007F">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Review By: &lt;#next_review_date&gt;</w:t>
          </w:r>
        </w:p>
      </w:tc>
    </w:tr>
    <w:tr>
      <w:trPr>
        <w:cantSplit w:val="0"/>
        <w:trHeight w:val="293" w:hRule="atLeast"/>
        <w:tblHeader w:val="0"/>
      </w:trPr>
      <w:tc>
        <w:tcPr>
          <w:vAlign w:val="center"/>
        </w:tcPr>
        <w:p w:rsidR="00000000" w:rsidDel="00000000" w:rsidP="00000000" w:rsidRDefault="00000000" w:rsidRPr="00000000" w14:paraId="00000080">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Version Changed: &lt;#revision_issue_date&gt;</w:t>
          </w:r>
        </w:p>
      </w:tc>
      <w:tc>
        <w:tcPr/>
        <w:p w:rsidR="00000000" w:rsidDel="00000000" w:rsidP="00000000" w:rsidRDefault="00000000" w:rsidRPr="00000000" w14:paraId="00000081">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Document uncontrolled when downloaded.</w:t>
          </w:r>
        </w:p>
      </w:tc>
      <w:tc>
        <w:tcPr/>
        <w:p w:rsidR="00000000" w:rsidDel="00000000" w:rsidP="00000000" w:rsidRDefault="00000000" w:rsidRPr="00000000" w14:paraId="00000082">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Last Reviewed Date: &lt;#last_review_date&gt;</w:t>
          </w:r>
        </w:p>
      </w:tc>
    </w:tr>
  </w:tbl>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284"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5"/>
      <w:tblW w:w="10206.0" w:type="dxa"/>
      <w:jc w:val="left"/>
      <w:tblInd w:w="-289.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402"/>
      <w:gridCol w:w="3402"/>
      <w:gridCol w:w="3402"/>
      <w:tblGridChange w:id="0">
        <w:tblGrid>
          <w:gridCol w:w="3402"/>
          <w:gridCol w:w="3402"/>
          <w:gridCol w:w="3402"/>
        </w:tblGrid>
      </w:tblGridChange>
    </w:tblGrid>
    <w:tr>
      <w:trPr>
        <w:cantSplit w:val="0"/>
        <w:trHeight w:val="274" w:hRule="atLeast"/>
        <w:tblHeader w:val="0"/>
      </w:trPr>
      <w:tc>
        <w:tcPr>
          <w:gridSpan w:val="3"/>
          <w:vAlign w:val="center"/>
        </w:tcPr>
        <w:p w:rsidR="00000000" w:rsidDel="00000000" w:rsidP="00000000" w:rsidRDefault="00000000" w:rsidRPr="00000000" w14:paraId="00000085">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PROMPT Doc No: &lt;#doc_num&gt; v&lt;#ver_num&gt;  </w:t>
          </w:r>
        </w:p>
      </w:tc>
    </w:tr>
    <w:tr>
      <w:trPr>
        <w:cantSplit w:val="0"/>
        <w:trHeight w:val="96" w:hRule="atLeast"/>
        <w:tblHeader w:val="0"/>
      </w:trPr>
      <w:tc>
        <w:tcPr>
          <w:vAlign w:val="center"/>
        </w:tcPr>
        <w:p w:rsidR="00000000" w:rsidDel="00000000" w:rsidP="00000000" w:rsidRDefault="00000000" w:rsidRPr="00000000" w14:paraId="00000088">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Date loaded on PROMPT: &lt;#issue_date&gt;</w:t>
          </w:r>
        </w:p>
      </w:tc>
      <w:tc>
        <w:tcPr/>
        <w:p w:rsidR="00000000" w:rsidDel="00000000" w:rsidP="00000000" w:rsidRDefault="00000000" w:rsidRPr="00000000" w14:paraId="00000089">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Page </w:t>
          </w:r>
          <w:r w:rsidDel="00000000" w:rsidR="00000000" w:rsidRPr="00000000">
            <w:rPr>
              <w:rFonts w:ascii="Arial" w:cs="Arial" w:eastAsia="Arial" w:hAnsi="Arial"/>
              <w:color w:val="999999"/>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999999"/>
              <w:sz w:val="16"/>
              <w:szCs w:val="16"/>
              <w:rtl w:val="0"/>
            </w:rPr>
            <w:t xml:space="preserve"> of </w:t>
          </w:r>
          <w:r w:rsidDel="00000000" w:rsidR="00000000" w:rsidRPr="00000000">
            <w:rPr>
              <w:rFonts w:ascii="Arial" w:cs="Arial" w:eastAsia="Arial" w:hAnsi="Arial"/>
              <w:color w:val="999999"/>
              <w:sz w:val="16"/>
              <w:szCs w:val="16"/>
            </w:rPr>
            <w:fldChar w:fldCharType="begin"/>
            <w:instrText xml:space="preserve">NUMPAGES</w:instrText>
            <w:fldChar w:fldCharType="separate"/>
            <w:fldChar w:fldCharType="end"/>
          </w:r>
          <w:r w:rsidDel="00000000" w:rsidR="00000000" w:rsidRPr="00000000">
            <w:rPr>
              <w:rtl w:val="0"/>
            </w:rPr>
          </w:r>
        </w:p>
      </w:tc>
      <w:tc>
        <w:tcPr/>
        <w:p w:rsidR="00000000" w:rsidDel="00000000" w:rsidP="00000000" w:rsidRDefault="00000000" w:rsidRPr="00000000" w14:paraId="0000008A">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Review By: &lt;#next_review_date&gt;</w:t>
          </w:r>
        </w:p>
      </w:tc>
    </w:tr>
    <w:tr>
      <w:trPr>
        <w:cantSplit w:val="0"/>
        <w:trHeight w:val="293" w:hRule="atLeast"/>
        <w:tblHeader w:val="0"/>
      </w:trPr>
      <w:tc>
        <w:tcPr>
          <w:vAlign w:val="center"/>
        </w:tcPr>
        <w:p w:rsidR="00000000" w:rsidDel="00000000" w:rsidP="00000000" w:rsidRDefault="00000000" w:rsidRPr="00000000" w14:paraId="0000008B">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Version Changed: &lt;#revision_issue_date&gt;</w:t>
          </w:r>
        </w:p>
      </w:tc>
      <w:tc>
        <w:tcPr/>
        <w:p w:rsidR="00000000" w:rsidDel="00000000" w:rsidP="00000000" w:rsidRDefault="00000000" w:rsidRPr="00000000" w14:paraId="0000008C">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Document uncontrolled when downloaded.</w:t>
          </w:r>
        </w:p>
      </w:tc>
      <w:tc>
        <w:tcPr/>
        <w:p w:rsidR="00000000" w:rsidDel="00000000" w:rsidP="00000000" w:rsidRDefault="00000000" w:rsidRPr="00000000" w14:paraId="0000008D">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Last Reviewed Date: &lt;#last_review_date&gt;</w:t>
          </w:r>
        </w:p>
      </w:tc>
    </w:tr>
  </w:tbl>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3"/>
      <w:tblW w:w="11624.0" w:type="dxa"/>
      <w:jc w:val="left"/>
      <w:tblInd w:w="-14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98"/>
      <w:gridCol w:w="231"/>
      <w:gridCol w:w="6095"/>
      <w:tblGridChange w:id="0">
        <w:tblGrid>
          <w:gridCol w:w="5298"/>
          <w:gridCol w:w="231"/>
          <w:gridCol w:w="6095"/>
        </w:tblGrid>
      </w:tblGridChange>
    </w:tblGrid>
    <w:tr>
      <w:trPr>
        <w:cantSplit w:val="0"/>
        <w:trHeight w:val="873" w:hRule="atLeast"/>
        <w:tblHeader w:val="0"/>
      </w:trPr>
      <w:tc>
        <w:tcPr>
          <w:vAlign w:val="center"/>
        </w:tcPr>
        <w:p w:rsidR="00000000" w:rsidDel="00000000" w:rsidP="00000000" w:rsidRDefault="00000000" w:rsidRPr="00000000" w14:paraId="00000073">
          <w:pPr>
            <w:rPr/>
          </w:pPr>
          <w:r w:rsidDel="00000000" w:rsidR="00000000" w:rsidRPr="00000000">
            <w:rPr/>
            <mc:AlternateContent>
              <mc:Choice Requires="wpg">
                <w:drawing>
                  <wp:inline distB="0" distT="0" distL="0" distR="0">
                    <wp:extent cx="3303525" cy="664502"/>
                    <wp:effectExtent b="0" l="0" r="0" t="0"/>
                    <wp:docPr id="7" name=""/>
                    <a:graphic>
                      <a:graphicData uri="http://schemas.microsoft.com/office/word/2010/wordprocessingShape">
                        <wps:wsp>
                          <wps:cNvSpPr/>
                          <wps:cNvPr id="3" name="Shape 3"/>
                          <wps:spPr>
                            <a:xfrm>
                              <a:off x="3699000" y="3456000"/>
                              <a:ext cx="3294000" cy="648000"/>
                            </a:xfrm>
                            <a:prstGeom prst="rect">
                              <a:avLst/>
                            </a:prstGeom>
                            <a:solidFill>
                              <a:srgbClr val="25215D"/>
                            </a:solidFill>
                            <a:ln>
                              <a:noFill/>
                            </a:ln>
                          </wps:spPr>
                          <wps:txbx>
                            <w:txbxContent>
                              <w:p w:rsidR="00000000" w:rsidDel="00000000" w:rsidP="00000000" w:rsidRDefault="00000000" w:rsidRPr="00000000">
                                <w:pPr>
                                  <w:spacing w:after="120" w:before="120" w:line="264.0000057220459"/>
                                  <w:ind w:left="1275.999984741211" w:right="0" w:firstLine="1275.999984741211"/>
                                  <w:jc w:val="left"/>
                                  <w:textDirection w:val="btLr"/>
                                </w:pPr>
                                <w:r w:rsidDel="00000000" w:rsidR="00000000" w:rsidRPr="00000000">
                                  <w:rPr>
                                    <w:rFonts w:ascii="Calibri" w:cs="Calibri" w:eastAsia="Calibri" w:hAnsi="Calibri"/>
                                    <w:b w:val="1"/>
                                    <w:i w:val="0"/>
                                    <w:smallCaps w:val="1"/>
                                    <w:strike w:val="0"/>
                                    <w:color w:val="ffffff"/>
                                    <w:sz w:val="24"/>
                                    <w:vertAlign w:val="baseline"/>
                                  </w:rPr>
                                  <w:t xml:space="preserve">PROCEDURE</w:t>
                                </w:r>
                              </w:p>
                            </w:txbxContent>
                          </wps:txbx>
                          <wps:bodyPr anchorCtr="0" anchor="ctr" bIns="45700" lIns="91425" spcFirstLastPara="1" rIns="91425" wrap="square" tIns="45700">
                            <a:noAutofit/>
                          </wps:bodyPr>
                        </wps:wsp>
                      </a:graphicData>
                    </a:graphic>
                  </wp:inline>
                </w:drawing>
              </mc:Choice>
              <mc:Fallback>
                <w:drawing>
                  <wp:inline distB="0" distT="0" distL="0" distR="0">
                    <wp:extent cx="3303525" cy="664502"/>
                    <wp:effectExtent b="0" l="0" r="0" t="0"/>
                    <wp:docPr id="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3303525" cy="664502"/>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74">
          <w:pPr>
            <w:rPr/>
          </w:pPr>
          <w:r w:rsidDel="00000000" w:rsidR="00000000" w:rsidRPr="00000000">
            <w:rPr>
              <w:rtl w:val="0"/>
            </w:rPr>
          </w:r>
        </w:p>
      </w:tc>
      <w:tc>
        <w:tcPr>
          <w:vAlign w:val="center"/>
        </w:tcPr>
        <w:p w:rsidR="00000000" w:rsidDel="00000000" w:rsidP="00000000" w:rsidRDefault="00000000" w:rsidRPr="00000000" w14:paraId="00000075">
          <w:pPr>
            <w:tabs>
              <w:tab w:val="center" w:leader="none" w:pos="2264"/>
            </w:tabs>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Selection of appropriate peripheral venous access for imaging examinations (Adult)</w:t>
          </w:r>
        </w:p>
      </w:tc>
    </w:tr>
  </w:tb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612"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436" w:hanging="360"/>
      </w:pPr>
      <w:rPr>
        <w:rFonts w:ascii="Noto Sans Symbols" w:cs="Noto Sans Symbols" w:eastAsia="Noto Sans Symbols" w:hAnsi="Noto Sans Symbols"/>
      </w:rPr>
    </w:lvl>
    <w:lvl w:ilvl="1">
      <w:start w:val="1"/>
      <w:numFmt w:val="bullet"/>
      <w:lvlText w:val="o"/>
      <w:lvlJc w:val="left"/>
      <w:pPr>
        <w:ind w:left="1156" w:hanging="360"/>
      </w:pPr>
      <w:rPr>
        <w:rFonts w:ascii="Courier New" w:cs="Courier New" w:eastAsia="Courier New" w:hAnsi="Courier New"/>
      </w:rPr>
    </w:lvl>
    <w:lvl w:ilvl="2">
      <w:start w:val="1"/>
      <w:numFmt w:val="bullet"/>
      <w:lvlText w:val="▪"/>
      <w:lvlJc w:val="left"/>
      <w:pPr>
        <w:ind w:left="1876" w:hanging="360"/>
      </w:pPr>
      <w:rPr>
        <w:rFonts w:ascii="Noto Sans Symbols" w:cs="Noto Sans Symbols" w:eastAsia="Noto Sans Symbols" w:hAnsi="Noto Sans Symbols"/>
      </w:rPr>
    </w:lvl>
    <w:lvl w:ilvl="3">
      <w:start w:val="1"/>
      <w:numFmt w:val="bullet"/>
      <w:lvlText w:val="●"/>
      <w:lvlJc w:val="left"/>
      <w:pPr>
        <w:ind w:left="2596" w:hanging="360"/>
      </w:pPr>
      <w:rPr>
        <w:rFonts w:ascii="Noto Sans Symbols" w:cs="Noto Sans Symbols" w:eastAsia="Noto Sans Symbols" w:hAnsi="Noto Sans Symbols"/>
      </w:rPr>
    </w:lvl>
    <w:lvl w:ilvl="4">
      <w:start w:val="1"/>
      <w:numFmt w:val="bullet"/>
      <w:lvlText w:val="o"/>
      <w:lvlJc w:val="left"/>
      <w:pPr>
        <w:ind w:left="3316" w:hanging="360"/>
      </w:pPr>
      <w:rPr>
        <w:rFonts w:ascii="Courier New" w:cs="Courier New" w:eastAsia="Courier New" w:hAnsi="Courier New"/>
      </w:rPr>
    </w:lvl>
    <w:lvl w:ilvl="5">
      <w:start w:val="1"/>
      <w:numFmt w:val="bullet"/>
      <w:lvlText w:val="▪"/>
      <w:lvlJc w:val="left"/>
      <w:pPr>
        <w:ind w:left="4036" w:hanging="360"/>
      </w:pPr>
      <w:rPr>
        <w:rFonts w:ascii="Noto Sans Symbols" w:cs="Noto Sans Symbols" w:eastAsia="Noto Sans Symbols" w:hAnsi="Noto Sans Symbols"/>
      </w:rPr>
    </w:lvl>
    <w:lvl w:ilvl="6">
      <w:start w:val="1"/>
      <w:numFmt w:val="bullet"/>
      <w:lvlText w:val="●"/>
      <w:lvlJc w:val="left"/>
      <w:pPr>
        <w:ind w:left="4756" w:hanging="360"/>
      </w:pPr>
      <w:rPr>
        <w:rFonts w:ascii="Noto Sans Symbols" w:cs="Noto Sans Symbols" w:eastAsia="Noto Sans Symbols" w:hAnsi="Noto Sans Symbols"/>
      </w:rPr>
    </w:lvl>
    <w:lvl w:ilvl="7">
      <w:start w:val="1"/>
      <w:numFmt w:val="bullet"/>
      <w:lvlText w:val="o"/>
      <w:lvlJc w:val="left"/>
      <w:pPr>
        <w:ind w:left="5476" w:hanging="360"/>
      </w:pPr>
      <w:rPr>
        <w:rFonts w:ascii="Courier New" w:cs="Courier New" w:eastAsia="Courier New" w:hAnsi="Courier New"/>
      </w:rPr>
    </w:lvl>
    <w:lvl w:ilvl="8">
      <w:start w:val="1"/>
      <w:numFmt w:val="bullet"/>
      <w:lvlText w:val="▪"/>
      <w:lvlJc w:val="left"/>
      <w:pPr>
        <w:ind w:left="6196" w:hanging="360"/>
      </w:pPr>
      <w:rPr>
        <w:rFonts w:ascii="Noto Sans Symbols" w:cs="Noto Sans Symbols" w:eastAsia="Noto Sans Symbols" w:hAnsi="Noto Sans Symbols"/>
      </w:rPr>
    </w:lvl>
  </w:abstractNum>
  <w:abstractNum w:abstractNumId="3">
    <w:lvl w:ilvl="0">
      <w:start w:val="1"/>
      <w:numFmt w:val="bullet"/>
      <w:lvlText w:val="●"/>
      <w:lvlJc w:val="left"/>
      <w:pPr>
        <w:ind w:left="1003" w:hanging="360"/>
      </w:pPr>
      <w:rPr>
        <w:rFonts w:ascii="Noto Sans Symbols" w:cs="Noto Sans Symbols" w:eastAsia="Noto Sans Symbols" w:hAnsi="Noto Sans Symbols"/>
      </w:rPr>
    </w:lvl>
    <w:lvl w:ilvl="1">
      <w:start w:val="1"/>
      <w:numFmt w:val="bullet"/>
      <w:lvlText w:val="o"/>
      <w:lvlJc w:val="left"/>
      <w:pPr>
        <w:ind w:left="1723" w:hanging="360"/>
      </w:pPr>
      <w:rPr>
        <w:rFonts w:ascii="Courier New" w:cs="Courier New" w:eastAsia="Courier New" w:hAnsi="Courier New"/>
      </w:rPr>
    </w:lvl>
    <w:lvl w:ilvl="2">
      <w:start w:val="1"/>
      <w:numFmt w:val="bullet"/>
      <w:lvlText w:val="▪"/>
      <w:lvlJc w:val="left"/>
      <w:pPr>
        <w:ind w:left="2443" w:hanging="360"/>
      </w:pPr>
      <w:rPr>
        <w:rFonts w:ascii="Noto Sans Symbols" w:cs="Noto Sans Symbols" w:eastAsia="Noto Sans Symbols" w:hAnsi="Noto Sans Symbols"/>
      </w:rPr>
    </w:lvl>
    <w:lvl w:ilvl="3">
      <w:start w:val="1"/>
      <w:numFmt w:val="bullet"/>
      <w:lvlText w:val="●"/>
      <w:lvlJc w:val="left"/>
      <w:pPr>
        <w:ind w:left="3163" w:hanging="360"/>
      </w:pPr>
      <w:rPr>
        <w:rFonts w:ascii="Noto Sans Symbols" w:cs="Noto Sans Symbols" w:eastAsia="Noto Sans Symbols" w:hAnsi="Noto Sans Symbols"/>
      </w:rPr>
    </w:lvl>
    <w:lvl w:ilvl="4">
      <w:start w:val="1"/>
      <w:numFmt w:val="bullet"/>
      <w:lvlText w:val="o"/>
      <w:lvlJc w:val="left"/>
      <w:pPr>
        <w:ind w:left="3883" w:hanging="360"/>
      </w:pPr>
      <w:rPr>
        <w:rFonts w:ascii="Courier New" w:cs="Courier New" w:eastAsia="Courier New" w:hAnsi="Courier New"/>
      </w:rPr>
    </w:lvl>
    <w:lvl w:ilvl="5">
      <w:start w:val="1"/>
      <w:numFmt w:val="bullet"/>
      <w:lvlText w:val="▪"/>
      <w:lvlJc w:val="left"/>
      <w:pPr>
        <w:ind w:left="4603" w:hanging="360"/>
      </w:pPr>
      <w:rPr>
        <w:rFonts w:ascii="Noto Sans Symbols" w:cs="Noto Sans Symbols" w:eastAsia="Noto Sans Symbols" w:hAnsi="Noto Sans Symbols"/>
      </w:rPr>
    </w:lvl>
    <w:lvl w:ilvl="6">
      <w:start w:val="1"/>
      <w:numFmt w:val="bullet"/>
      <w:lvlText w:val="●"/>
      <w:lvlJc w:val="left"/>
      <w:pPr>
        <w:ind w:left="5323" w:hanging="360"/>
      </w:pPr>
      <w:rPr>
        <w:rFonts w:ascii="Noto Sans Symbols" w:cs="Noto Sans Symbols" w:eastAsia="Noto Sans Symbols" w:hAnsi="Noto Sans Symbols"/>
      </w:rPr>
    </w:lvl>
    <w:lvl w:ilvl="7">
      <w:start w:val="1"/>
      <w:numFmt w:val="bullet"/>
      <w:lvlText w:val="o"/>
      <w:lvlJc w:val="left"/>
      <w:pPr>
        <w:ind w:left="6043" w:hanging="360"/>
      </w:pPr>
      <w:rPr>
        <w:rFonts w:ascii="Courier New" w:cs="Courier New" w:eastAsia="Courier New" w:hAnsi="Courier New"/>
      </w:rPr>
    </w:lvl>
    <w:lvl w:ilvl="8">
      <w:start w:val="1"/>
      <w:numFmt w:val="bullet"/>
      <w:lvlText w:val="▪"/>
      <w:lvlJc w:val="left"/>
      <w:pPr>
        <w:ind w:left="6763" w:hanging="360"/>
      </w:pPr>
      <w:rPr>
        <w:rFonts w:ascii="Noto Sans Symbols" w:cs="Noto Sans Symbols" w:eastAsia="Noto Sans Symbols" w:hAnsi="Noto Sans Symbols"/>
      </w:rPr>
    </w:lvl>
  </w:abstractNum>
  <w:abstractNum w:abstractNumId="4">
    <w:lvl w:ilvl="0">
      <w:start w:val="1"/>
      <w:numFmt w:val="decimal"/>
      <w:lvlText w:val="%1"/>
      <w:lvlJc w:val="left"/>
      <w:pPr>
        <w:ind w:left="76" w:hanging="360"/>
      </w:pPr>
      <w:rPr/>
    </w:lvl>
    <w:lvl w:ilvl="1">
      <w:start w:val="1"/>
      <w:numFmt w:val="lowerLetter"/>
      <w:lvlText w:val="%2."/>
      <w:lvlJc w:val="left"/>
      <w:pPr>
        <w:ind w:left="796" w:hanging="360.00000000000006"/>
      </w:pPr>
      <w:rPr/>
    </w:lvl>
    <w:lvl w:ilvl="2">
      <w:start w:val="1"/>
      <w:numFmt w:val="lowerRoman"/>
      <w:lvlText w:val="%3."/>
      <w:lvlJc w:val="right"/>
      <w:pPr>
        <w:ind w:left="1516" w:hanging="180"/>
      </w:pPr>
      <w:rPr/>
    </w:lvl>
    <w:lvl w:ilvl="3">
      <w:start w:val="1"/>
      <w:numFmt w:val="decimal"/>
      <w:lvlText w:val="%4."/>
      <w:lvlJc w:val="left"/>
      <w:pPr>
        <w:ind w:left="2236" w:hanging="360"/>
      </w:pPr>
      <w:rPr/>
    </w:lvl>
    <w:lvl w:ilvl="4">
      <w:start w:val="1"/>
      <w:numFmt w:val="lowerLetter"/>
      <w:lvlText w:val="%5."/>
      <w:lvlJc w:val="left"/>
      <w:pPr>
        <w:ind w:left="2956" w:hanging="360"/>
      </w:pPr>
      <w:rPr/>
    </w:lvl>
    <w:lvl w:ilvl="5">
      <w:start w:val="1"/>
      <w:numFmt w:val="lowerRoman"/>
      <w:lvlText w:val="%6."/>
      <w:lvlJc w:val="right"/>
      <w:pPr>
        <w:ind w:left="3676" w:hanging="180"/>
      </w:pPr>
      <w:rPr/>
    </w:lvl>
    <w:lvl w:ilvl="6">
      <w:start w:val="1"/>
      <w:numFmt w:val="decimal"/>
      <w:lvlText w:val="%7."/>
      <w:lvlJc w:val="left"/>
      <w:pPr>
        <w:ind w:left="4396" w:hanging="360"/>
      </w:pPr>
      <w:rPr/>
    </w:lvl>
    <w:lvl w:ilvl="7">
      <w:start w:val="1"/>
      <w:numFmt w:val="lowerLetter"/>
      <w:lvlText w:val="%8."/>
      <w:lvlJc w:val="left"/>
      <w:pPr>
        <w:ind w:left="5116" w:hanging="360"/>
      </w:pPr>
      <w:rPr/>
    </w:lvl>
    <w:lvl w:ilvl="8">
      <w:start w:val="1"/>
      <w:numFmt w:val="lowerRoman"/>
      <w:lvlText w:val="%9."/>
      <w:lvlJc w:val="right"/>
      <w:pPr>
        <w:ind w:left="5836"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AU"/>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bottom w:color="000000" w:space="1" w:sz="4" w:val="single"/>
      </w:pBdr>
      <w:spacing w:after="240" w:before="240" w:line="240" w:lineRule="auto"/>
      <w:ind w:left="-284" w:right="-612"/>
    </w:pPr>
    <w:rPr>
      <w:b w:val="1"/>
      <w:bCs w:val="1"/>
      <w:color w:val="005da6"/>
      <w:sz w:val="22"/>
      <w:szCs w:val="22"/>
    </w:rPr>
  </w:style>
  <w:style w:type="paragraph" w:styleId="Heading2">
    <w:name w:val="heading 2"/>
    <w:basedOn w:val="Normal"/>
    <w:next w:val="Normal"/>
    <w:pPr>
      <w:spacing w:after="240" w:before="120" w:line="240" w:lineRule="auto"/>
      <w:ind w:left="360" w:right="-612" w:hanging="360"/>
    </w:pPr>
    <w:rPr>
      <w:color w:val="25215d"/>
      <w:sz w:val="22"/>
      <w:szCs w:val="22"/>
      <w:u w:val="single"/>
    </w:rPr>
  </w:style>
  <w:style w:type="paragraph" w:styleId="Heading3">
    <w:name w:val="heading 3"/>
    <w:basedOn w:val="Normal"/>
    <w:next w:val="Normal"/>
    <w:pPr>
      <w:spacing w:after="240" w:before="120" w:line="240" w:lineRule="auto"/>
      <w:ind w:left="1004" w:right="-612" w:hanging="720"/>
    </w:pPr>
    <w:rPr>
      <w:color w:val="25215d"/>
      <w:sz w:val="22"/>
      <w:szCs w:val="22"/>
      <w:u w:val="single"/>
    </w:rPr>
  </w:style>
  <w:style w:type="paragraph" w:styleId="Heading4">
    <w:name w:val="heading 4"/>
    <w:basedOn w:val="Normal"/>
    <w:next w:val="Normal"/>
    <w:pPr>
      <w:keepNext w:val="1"/>
      <w:keepLines w:val="1"/>
      <w:spacing w:after="0" w:before="80" w:lineRule="auto"/>
    </w:pPr>
    <w:rPr>
      <w:rFonts w:ascii="Calibri" w:cs="Calibri" w:eastAsia="Calibri" w:hAnsi="Calibri"/>
      <w:sz w:val="24"/>
      <w:szCs w:val="24"/>
    </w:rPr>
  </w:style>
  <w:style w:type="paragraph" w:styleId="Heading5">
    <w:name w:val="heading 5"/>
    <w:basedOn w:val="Normal"/>
    <w:next w:val="Normal"/>
    <w:pPr>
      <w:keepNext w:val="1"/>
      <w:keepLines w:val="1"/>
      <w:spacing w:after="0" w:before="80" w:lineRule="auto"/>
    </w:pPr>
    <w:rPr>
      <w:rFonts w:ascii="Calibri" w:cs="Calibri" w:eastAsia="Calibri" w:hAnsi="Calibri"/>
      <w:i w:val="1"/>
      <w:iCs w:val="1"/>
      <w:sz w:val="22"/>
      <w:szCs w:val="22"/>
    </w:rPr>
  </w:style>
  <w:style w:type="paragraph" w:styleId="Heading6">
    <w:name w:val="heading 6"/>
    <w:basedOn w:val="Normal"/>
    <w:next w:val="Normal"/>
    <w:pPr>
      <w:keepNext w:val="1"/>
      <w:keepLines w:val="1"/>
      <w:spacing w:after="0" w:before="80" w:lineRule="auto"/>
    </w:pPr>
    <w:rPr>
      <w:rFonts w:ascii="Calibri" w:cs="Calibri" w:eastAsia="Calibri" w:hAnsi="Calibri"/>
      <w:color w:val="595959"/>
    </w:rPr>
  </w:style>
  <w:style w:type="paragraph" w:styleId="Title">
    <w:name w:val="Title"/>
    <w:basedOn w:val="Normal"/>
    <w:next w:val="Normal"/>
    <w:pPr>
      <w:spacing w:after="0" w:line="240" w:lineRule="auto"/>
    </w:pPr>
    <w:rPr>
      <w:rFonts w:ascii="Calibri" w:cs="Calibri" w:eastAsia="Calibri" w:hAnsi="Calibri"/>
      <w:color w:val="2e75b5"/>
      <w:sz w:val="80"/>
      <w:szCs w:val="80"/>
    </w:rPr>
  </w:style>
  <w:style w:type="paragraph" w:styleId="Heading7">
    <w:name w:val="heading 7"/>
    <w:basedOn w:val="Normal"/>
    <w:next w:val="Normal"/>
    <w:link w:val="Heading7Char"/>
    <w:uiPriority w:val="9"/>
    <w:semiHidden w:val="1"/>
    <w:unhideWhenUsed w:val="1"/>
    <w:qFormat w:val="1"/>
    <w:rsid w:val="00911359"/>
    <w:pPr>
      <w:keepNext w:val="1"/>
      <w:keepLines w:val="1"/>
      <w:spacing w:after="0" w:before="80"/>
      <w:outlineLvl w:val="6"/>
    </w:pPr>
    <w:rPr>
      <w:rFonts w:asciiTheme="majorHAnsi" w:cstheme="majorBidi" w:eastAsiaTheme="majorEastAsia" w:hAnsiTheme="majorHAnsi"/>
      <w:i w:val="1"/>
      <w:iCs w:val="1"/>
      <w:color w:val="595959" w:themeColor="text1" w:themeTint="0000A6"/>
    </w:rPr>
  </w:style>
  <w:style w:type="paragraph" w:styleId="Heading8">
    <w:name w:val="heading 8"/>
    <w:basedOn w:val="Normal"/>
    <w:next w:val="Normal"/>
    <w:link w:val="Heading8Char"/>
    <w:uiPriority w:val="9"/>
    <w:semiHidden w:val="1"/>
    <w:unhideWhenUsed w:val="1"/>
    <w:qFormat w:val="1"/>
    <w:rsid w:val="00911359"/>
    <w:pPr>
      <w:keepNext w:val="1"/>
      <w:keepLines w:val="1"/>
      <w:spacing w:after="0" w:before="80"/>
      <w:outlineLvl w:val="7"/>
    </w:pPr>
    <w:rPr>
      <w:rFonts w:asciiTheme="majorHAnsi" w:cstheme="majorBidi" w:eastAsiaTheme="majorEastAsia" w:hAnsiTheme="majorHAnsi"/>
      <w:smallCaps w:val="1"/>
      <w:color w:val="595959" w:themeColor="text1" w:themeTint="0000A6"/>
    </w:rPr>
  </w:style>
  <w:style w:type="paragraph" w:styleId="Heading9">
    <w:name w:val="heading 9"/>
    <w:basedOn w:val="Normal"/>
    <w:next w:val="Normal"/>
    <w:link w:val="Heading9Char"/>
    <w:uiPriority w:val="9"/>
    <w:semiHidden w:val="1"/>
    <w:unhideWhenUsed w:val="1"/>
    <w:qFormat w:val="1"/>
    <w:rsid w:val="00911359"/>
    <w:pPr>
      <w:keepNext w:val="1"/>
      <w:keepLines w:val="1"/>
      <w:spacing w:after="0" w:before="80"/>
      <w:outlineLvl w:val="8"/>
    </w:pPr>
    <w:rPr>
      <w:rFonts w:asciiTheme="majorHAnsi" w:cstheme="majorBidi" w:eastAsiaTheme="majorEastAsia" w:hAnsiTheme="majorHAnsi"/>
      <w:i w:val="1"/>
      <w:iCs w:val="1"/>
      <w:smallCaps w:val="1"/>
      <w:color w:val="595959" w:themeColor="text1" w:themeTint="0000A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nhideWhenUsed w:val="1"/>
    <w:rsid w:val="00911359"/>
    <w:pPr>
      <w:tabs>
        <w:tab w:val="center" w:pos="4513"/>
        <w:tab w:val="right" w:pos="9026"/>
      </w:tabs>
      <w:spacing w:line="240" w:lineRule="auto"/>
    </w:pPr>
  </w:style>
  <w:style w:type="character" w:styleId="HeaderChar" w:customStyle="1">
    <w:name w:val="Header Char"/>
    <w:basedOn w:val="DefaultParagraphFont"/>
    <w:link w:val="Header"/>
    <w:rsid w:val="00911359"/>
  </w:style>
  <w:style w:type="paragraph" w:styleId="Footer">
    <w:name w:val="footer"/>
    <w:basedOn w:val="Normal"/>
    <w:link w:val="FooterChar"/>
    <w:uiPriority w:val="99"/>
    <w:unhideWhenUsed w:val="1"/>
    <w:rsid w:val="00911359"/>
    <w:pPr>
      <w:tabs>
        <w:tab w:val="center" w:pos="4513"/>
        <w:tab w:val="right" w:pos="9026"/>
      </w:tabs>
      <w:spacing w:line="240" w:lineRule="auto"/>
    </w:pPr>
  </w:style>
  <w:style w:type="character" w:styleId="FooterChar" w:customStyle="1">
    <w:name w:val="Footer Char"/>
    <w:basedOn w:val="DefaultParagraphFont"/>
    <w:link w:val="Footer"/>
    <w:uiPriority w:val="99"/>
    <w:rsid w:val="00911359"/>
  </w:style>
  <w:style w:type="paragraph" w:styleId="NoSpacing">
    <w:name w:val="No Spacing"/>
    <w:link w:val="NoSpacingChar"/>
    <w:uiPriority w:val="1"/>
    <w:qFormat w:val="1"/>
    <w:rsid w:val="00911359"/>
    <w:pPr>
      <w:spacing w:after="0" w:line="240" w:lineRule="auto"/>
    </w:pPr>
  </w:style>
  <w:style w:type="character" w:styleId="NoSpacingChar" w:customStyle="1">
    <w:name w:val="No Spacing Char"/>
    <w:basedOn w:val="DefaultParagraphFont"/>
    <w:link w:val="NoSpacing"/>
    <w:uiPriority w:val="1"/>
    <w:rsid w:val="00911359"/>
  </w:style>
  <w:style w:type="character" w:styleId="Heading1Char" w:customStyle="1">
    <w:name w:val="Heading 1 Char"/>
    <w:basedOn w:val="DefaultParagraphFont"/>
    <w:link w:val="Heading1"/>
    <w:uiPriority w:val="9"/>
    <w:rsid w:val="00B24667"/>
    <w:rPr>
      <w:b w:val="1"/>
      <w:color w:val="005da6"/>
      <w:sz w:val="22"/>
      <w:szCs w:val="22"/>
    </w:rPr>
  </w:style>
  <w:style w:type="paragraph" w:styleId="TOCHeading">
    <w:name w:val="TOC Heading"/>
    <w:basedOn w:val="Heading1"/>
    <w:next w:val="Normal"/>
    <w:uiPriority w:val="39"/>
    <w:unhideWhenUsed w:val="1"/>
    <w:qFormat w:val="1"/>
    <w:rsid w:val="00911359"/>
    <w:pPr>
      <w:outlineLvl w:val="9"/>
    </w:pPr>
  </w:style>
  <w:style w:type="character" w:styleId="Hyperlink">
    <w:name w:val="Hyperlink"/>
    <w:basedOn w:val="DefaultParagraphFont"/>
    <w:uiPriority w:val="99"/>
    <w:unhideWhenUsed w:val="1"/>
    <w:rsid w:val="00911359"/>
    <w:rPr>
      <w:color w:val="0563c1" w:themeColor="hyperlink"/>
      <w:u w:val="single"/>
    </w:rPr>
  </w:style>
  <w:style w:type="paragraph" w:styleId="TOC2">
    <w:name w:val="toc 2"/>
    <w:basedOn w:val="Normal"/>
    <w:next w:val="Normal"/>
    <w:autoRedefine w:val="1"/>
    <w:uiPriority w:val="39"/>
    <w:unhideWhenUsed w:val="1"/>
    <w:rsid w:val="00911359"/>
    <w:pPr>
      <w:spacing w:after="100"/>
      <w:ind w:left="220"/>
    </w:pPr>
  </w:style>
  <w:style w:type="paragraph" w:styleId="TOC1">
    <w:name w:val="toc 1"/>
    <w:basedOn w:val="Normal"/>
    <w:next w:val="Normal"/>
    <w:autoRedefine w:val="1"/>
    <w:uiPriority w:val="39"/>
    <w:unhideWhenUsed w:val="1"/>
    <w:rsid w:val="00150B67"/>
    <w:pPr>
      <w:tabs>
        <w:tab w:val="right" w:leader="dot" w:pos="9016"/>
      </w:tabs>
      <w:spacing w:after="100"/>
    </w:pPr>
  </w:style>
  <w:style w:type="character" w:styleId="Heading2Char" w:customStyle="1">
    <w:name w:val="Heading 2 Char"/>
    <w:basedOn w:val="DefaultParagraphFont"/>
    <w:link w:val="Heading2"/>
    <w:uiPriority w:val="9"/>
    <w:rsid w:val="002246FC"/>
    <w:rPr>
      <w:rFonts w:eastAsiaTheme="minorHAnsi"/>
      <w:color w:val="25215d"/>
      <w:sz w:val="22"/>
      <w:szCs w:val="22"/>
      <w:u w:val="single"/>
    </w:rPr>
  </w:style>
  <w:style w:type="character" w:styleId="Heading3Char" w:customStyle="1">
    <w:name w:val="Heading 3 Char"/>
    <w:basedOn w:val="DefaultParagraphFont"/>
    <w:link w:val="Heading3"/>
    <w:uiPriority w:val="9"/>
    <w:rsid w:val="002246FC"/>
    <w:rPr>
      <w:rFonts w:eastAsiaTheme="minorHAnsi"/>
      <w:color w:val="25215d"/>
      <w:sz w:val="22"/>
      <w:szCs w:val="22"/>
      <w:u w:val="single"/>
    </w:rPr>
  </w:style>
  <w:style w:type="character" w:styleId="Heading4Char" w:customStyle="1">
    <w:name w:val="Heading 4 Char"/>
    <w:basedOn w:val="DefaultParagraphFont"/>
    <w:link w:val="Heading4"/>
    <w:uiPriority w:val="9"/>
    <w:semiHidden w:val="1"/>
    <w:rsid w:val="00911359"/>
    <w:rPr>
      <w:rFonts w:asciiTheme="majorHAnsi" w:cstheme="majorBidi" w:eastAsiaTheme="majorEastAsia" w:hAnsiTheme="majorHAnsi"/>
      <w:sz w:val="24"/>
      <w:szCs w:val="24"/>
    </w:rPr>
  </w:style>
  <w:style w:type="character" w:styleId="Heading5Char" w:customStyle="1">
    <w:name w:val="Heading 5 Char"/>
    <w:basedOn w:val="DefaultParagraphFont"/>
    <w:link w:val="Heading5"/>
    <w:uiPriority w:val="9"/>
    <w:semiHidden w:val="1"/>
    <w:rsid w:val="00911359"/>
    <w:rPr>
      <w:rFonts w:asciiTheme="majorHAnsi" w:cstheme="majorBidi" w:eastAsiaTheme="majorEastAsia" w:hAnsiTheme="majorHAnsi"/>
      <w:i w:val="1"/>
      <w:iCs w:val="1"/>
      <w:sz w:val="22"/>
      <w:szCs w:val="22"/>
    </w:rPr>
  </w:style>
  <w:style w:type="character" w:styleId="Heading6Char" w:customStyle="1">
    <w:name w:val="Heading 6 Char"/>
    <w:basedOn w:val="DefaultParagraphFont"/>
    <w:link w:val="Heading6"/>
    <w:uiPriority w:val="9"/>
    <w:semiHidden w:val="1"/>
    <w:rsid w:val="00911359"/>
    <w:rPr>
      <w:rFonts w:asciiTheme="majorHAnsi" w:cstheme="majorBidi" w:eastAsiaTheme="majorEastAsia" w:hAnsiTheme="majorHAnsi"/>
      <w:color w:val="595959" w:themeColor="text1" w:themeTint="0000A6"/>
    </w:rPr>
  </w:style>
  <w:style w:type="character" w:styleId="Heading7Char" w:customStyle="1">
    <w:name w:val="Heading 7 Char"/>
    <w:basedOn w:val="DefaultParagraphFont"/>
    <w:link w:val="Heading7"/>
    <w:uiPriority w:val="9"/>
    <w:semiHidden w:val="1"/>
    <w:rsid w:val="00911359"/>
    <w:rPr>
      <w:rFonts w:asciiTheme="majorHAnsi" w:cstheme="majorBidi" w:eastAsiaTheme="majorEastAsia" w:hAnsiTheme="majorHAnsi"/>
      <w:i w:val="1"/>
      <w:iCs w:val="1"/>
      <w:color w:val="595959" w:themeColor="text1" w:themeTint="0000A6"/>
    </w:rPr>
  </w:style>
  <w:style w:type="character" w:styleId="Heading8Char" w:customStyle="1">
    <w:name w:val="Heading 8 Char"/>
    <w:basedOn w:val="DefaultParagraphFont"/>
    <w:link w:val="Heading8"/>
    <w:uiPriority w:val="9"/>
    <w:semiHidden w:val="1"/>
    <w:rsid w:val="00911359"/>
    <w:rPr>
      <w:rFonts w:asciiTheme="majorHAnsi" w:cstheme="majorBidi" w:eastAsiaTheme="majorEastAsia" w:hAnsiTheme="majorHAnsi"/>
      <w:smallCaps w:val="1"/>
      <w:color w:val="595959" w:themeColor="text1" w:themeTint="0000A6"/>
    </w:rPr>
  </w:style>
  <w:style w:type="character" w:styleId="Heading9Char" w:customStyle="1">
    <w:name w:val="Heading 9 Char"/>
    <w:basedOn w:val="DefaultParagraphFont"/>
    <w:link w:val="Heading9"/>
    <w:uiPriority w:val="9"/>
    <w:semiHidden w:val="1"/>
    <w:rsid w:val="00911359"/>
    <w:rPr>
      <w:rFonts w:asciiTheme="majorHAnsi" w:cstheme="majorBidi" w:eastAsiaTheme="majorEastAsia" w:hAnsiTheme="majorHAnsi"/>
      <w:i w:val="1"/>
      <w:iCs w:val="1"/>
      <w:smallCaps w:val="1"/>
      <w:color w:val="595959" w:themeColor="text1" w:themeTint="0000A6"/>
    </w:rPr>
  </w:style>
  <w:style w:type="paragraph" w:styleId="Caption">
    <w:name w:val="caption"/>
    <w:basedOn w:val="Normal"/>
    <w:next w:val="Normal"/>
    <w:uiPriority w:val="35"/>
    <w:semiHidden w:val="1"/>
    <w:unhideWhenUsed w:val="1"/>
    <w:qFormat w:val="1"/>
    <w:rsid w:val="00911359"/>
    <w:pPr>
      <w:spacing w:line="240" w:lineRule="auto"/>
    </w:pPr>
    <w:rPr>
      <w:b w:val="1"/>
      <w:bCs w:val="1"/>
      <w:color w:val="404040" w:themeColor="text1" w:themeTint="0000BF"/>
      <w:sz w:val="20"/>
      <w:szCs w:val="20"/>
    </w:rPr>
  </w:style>
  <w:style w:type="character" w:styleId="TitleChar" w:customStyle="1">
    <w:name w:val="Title Char"/>
    <w:basedOn w:val="DefaultParagraphFont"/>
    <w:link w:val="Title"/>
    <w:uiPriority w:val="10"/>
    <w:rsid w:val="00911359"/>
    <w:rPr>
      <w:rFonts w:asciiTheme="majorHAnsi" w:cstheme="majorBidi" w:eastAsiaTheme="majorEastAsia" w:hAnsiTheme="majorHAnsi"/>
      <w:color w:val="2e74b5" w:themeColor="accent1" w:themeShade="0000BF"/>
      <w:spacing w:val="-7"/>
      <w:sz w:val="80"/>
      <w:szCs w:val="80"/>
    </w:rPr>
  </w:style>
  <w:style w:type="character" w:styleId="SubtitleChar" w:customStyle="1">
    <w:name w:val="Subtitle Char"/>
    <w:basedOn w:val="DefaultParagraphFont"/>
    <w:link w:val="Subtitle"/>
    <w:uiPriority w:val="11"/>
    <w:rsid w:val="00911359"/>
    <w:rPr>
      <w:rFonts w:asciiTheme="majorHAnsi" w:cstheme="majorBidi" w:eastAsiaTheme="majorEastAsia" w:hAnsiTheme="majorHAnsi"/>
      <w:color w:val="404040" w:themeColor="text1" w:themeTint="0000BF"/>
      <w:sz w:val="30"/>
      <w:szCs w:val="30"/>
    </w:rPr>
  </w:style>
  <w:style w:type="character" w:styleId="Strong">
    <w:name w:val="Strong"/>
    <w:basedOn w:val="DefaultParagraphFont"/>
    <w:uiPriority w:val="22"/>
    <w:qFormat w:val="1"/>
    <w:rsid w:val="00911359"/>
    <w:rPr>
      <w:b w:val="1"/>
      <w:bCs w:val="1"/>
    </w:rPr>
  </w:style>
  <w:style w:type="character" w:styleId="Emphasis">
    <w:name w:val="Emphasis"/>
    <w:basedOn w:val="DefaultParagraphFont"/>
    <w:uiPriority w:val="20"/>
    <w:qFormat w:val="1"/>
    <w:rsid w:val="00911359"/>
    <w:rPr>
      <w:i w:val="1"/>
      <w:iCs w:val="1"/>
    </w:rPr>
  </w:style>
  <w:style w:type="paragraph" w:styleId="Quote">
    <w:name w:val="Quote"/>
    <w:basedOn w:val="Normal"/>
    <w:next w:val="Normal"/>
    <w:link w:val="QuoteChar"/>
    <w:uiPriority w:val="29"/>
    <w:qFormat w:val="1"/>
    <w:rsid w:val="00911359"/>
    <w:pPr>
      <w:spacing w:after="240" w:before="240" w:line="252" w:lineRule="auto"/>
      <w:ind w:left="864" w:right="864"/>
      <w:jc w:val="center"/>
    </w:pPr>
    <w:rPr>
      <w:i w:val="1"/>
      <w:iCs w:val="1"/>
    </w:rPr>
  </w:style>
  <w:style w:type="character" w:styleId="QuoteChar" w:customStyle="1">
    <w:name w:val="Quote Char"/>
    <w:basedOn w:val="DefaultParagraphFont"/>
    <w:link w:val="Quote"/>
    <w:uiPriority w:val="29"/>
    <w:rsid w:val="00911359"/>
    <w:rPr>
      <w:i w:val="1"/>
      <w:iCs w:val="1"/>
    </w:rPr>
  </w:style>
  <w:style w:type="paragraph" w:styleId="IntenseQuote">
    <w:name w:val="Intense Quote"/>
    <w:basedOn w:val="Normal"/>
    <w:next w:val="Normal"/>
    <w:link w:val="IntenseQuoteChar"/>
    <w:uiPriority w:val="30"/>
    <w:qFormat w:val="1"/>
    <w:rsid w:val="00911359"/>
    <w:pPr>
      <w:spacing w:after="240" w:before="100" w:beforeAutospacing="1"/>
      <w:ind w:left="864" w:right="864"/>
      <w:jc w:val="center"/>
    </w:pPr>
    <w:rPr>
      <w:rFonts w:asciiTheme="majorHAnsi" w:cstheme="majorBidi" w:eastAsiaTheme="majorEastAsia" w:hAnsiTheme="majorHAnsi"/>
      <w:color w:val="5b9bd5" w:themeColor="accent1"/>
      <w:sz w:val="28"/>
      <w:szCs w:val="28"/>
    </w:rPr>
  </w:style>
  <w:style w:type="character" w:styleId="IntenseQuoteChar" w:customStyle="1">
    <w:name w:val="Intense Quote Char"/>
    <w:basedOn w:val="DefaultParagraphFont"/>
    <w:link w:val="IntenseQuote"/>
    <w:uiPriority w:val="30"/>
    <w:rsid w:val="00911359"/>
    <w:rPr>
      <w:rFonts w:asciiTheme="majorHAnsi" w:cstheme="majorBidi" w:eastAsiaTheme="majorEastAsia" w:hAnsiTheme="majorHAnsi"/>
      <w:color w:val="5b9bd5" w:themeColor="accent1"/>
      <w:sz w:val="28"/>
      <w:szCs w:val="28"/>
    </w:rPr>
  </w:style>
  <w:style w:type="character" w:styleId="SubtleEmphasis">
    <w:name w:val="Subtle Emphasis"/>
    <w:basedOn w:val="DefaultParagraphFont"/>
    <w:uiPriority w:val="19"/>
    <w:qFormat w:val="1"/>
    <w:rsid w:val="00911359"/>
    <w:rPr>
      <w:i w:val="1"/>
      <w:iCs w:val="1"/>
      <w:color w:val="595959" w:themeColor="text1" w:themeTint="0000A6"/>
    </w:rPr>
  </w:style>
  <w:style w:type="character" w:styleId="IntenseEmphasis">
    <w:name w:val="Intense Emphasis"/>
    <w:basedOn w:val="DefaultParagraphFont"/>
    <w:uiPriority w:val="21"/>
    <w:qFormat w:val="1"/>
    <w:rsid w:val="00911359"/>
    <w:rPr>
      <w:b w:val="1"/>
      <w:bCs w:val="1"/>
      <w:i w:val="1"/>
      <w:iCs w:val="1"/>
    </w:rPr>
  </w:style>
  <w:style w:type="character" w:styleId="SubtleReference">
    <w:name w:val="Subtle Reference"/>
    <w:basedOn w:val="DefaultParagraphFont"/>
    <w:uiPriority w:val="31"/>
    <w:qFormat w:val="1"/>
    <w:rsid w:val="00911359"/>
    <w:rPr>
      <w:smallCaps w:val="1"/>
      <w:color w:val="404040" w:themeColor="text1" w:themeTint="0000BF"/>
    </w:rPr>
  </w:style>
  <w:style w:type="character" w:styleId="IntenseReference">
    <w:name w:val="Intense Reference"/>
    <w:basedOn w:val="DefaultParagraphFont"/>
    <w:uiPriority w:val="32"/>
    <w:qFormat w:val="1"/>
    <w:rsid w:val="00911359"/>
    <w:rPr>
      <w:b w:val="1"/>
      <w:bCs w:val="1"/>
      <w:smallCaps w:val="1"/>
      <w:u w:val="single"/>
    </w:rPr>
  </w:style>
  <w:style w:type="character" w:styleId="BookTitle">
    <w:name w:val="Book Title"/>
    <w:basedOn w:val="DefaultParagraphFont"/>
    <w:uiPriority w:val="33"/>
    <w:qFormat w:val="1"/>
    <w:rsid w:val="00911359"/>
    <w:rPr>
      <w:b w:val="1"/>
      <w:bCs w:val="1"/>
      <w:smallCaps w:val="1"/>
    </w:rPr>
  </w:style>
  <w:style w:type="table" w:styleId="TableGrid">
    <w:name w:val="Table Grid"/>
    <w:basedOn w:val="TableNormal"/>
    <w:uiPriority w:val="39"/>
    <w:rsid w:val="00E06CB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aliases w:val="First level bullet"/>
    <w:basedOn w:val="Normal"/>
    <w:uiPriority w:val="34"/>
    <w:qFormat w:val="1"/>
    <w:rsid w:val="00E06CB2"/>
    <w:pPr>
      <w:spacing w:after="160" w:before="120" w:line="259" w:lineRule="auto"/>
      <w:ind w:left="720"/>
      <w:contextualSpacing w:val="1"/>
    </w:pPr>
    <w:rPr>
      <w:rFonts w:eastAsiaTheme="minorHAnsi"/>
      <w:sz w:val="22"/>
      <w:szCs w:val="22"/>
    </w:rPr>
  </w:style>
  <w:style w:type="table" w:styleId="ListTable3Accent3">
    <w:name w:val="List Table 3 Accent 3"/>
    <w:basedOn w:val="TableNormal"/>
    <w:uiPriority w:val="48"/>
    <w:rsid w:val="00ED7F3D"/>
    <w:pPr>
      <w:spacing w:after="0" w:line="240" w:lineRule="auto"/>
    </w:pPr>
    <w:tblPr>
      <w:tblStyleRowBandSize w:val="1"/>
      <w:tblStyleColBandSize w:val="1"/>
      <w:tblBorders>
        <w:top w:color="a5a5a5" w:space="0" w:sz="4" w:themeColor="accent3" w:val="single"/>
        <w:left w:color="a5a5a5" w:space="0" w:sz="4" w:themeColor="accent3" w:val="single"/>
        <w:bottom w:color="a5a5a5" w:space="0" w:sz="4" w:themeColor="accent3" w:val="single"/>
        <w:right w:color="a5a5a5" w:space="0" w:sz="4" w:themeColor="accent3" w:val="single"/>
      </w:tblBorders>
    </w:tblPr>
    <w:tblStylePr w:type="firstRow">
      <w:rPr>
        <w:b w:val="1"/>
        <w:bCs w:val="1"/>
        <w:color w:val="ffffff" w:themeColor="background1"/>
      </w:rPr>
      <w:tblPr/>
      <w:tcPr>
        <w:shd w:color="auto" w:fill="a5a5a5" w:themeFill="accent3" w:val="clear"/>
      </w:tcPr>
    </w:tblStylePr>
    <w:tblStylePr w:type="lastRow">
      <w:rPr>
        <w:b w:val="1"/>
        <w:bCs w:val="1"/>
      </w:rPr>
      <w:tblPr/>
      <w:tcPr>
        <w:tcBorders>
          <w:top w:color="a5a5a5" w:space="0" w:sz="4" w:themeColor="accent3"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a5a5a5" w:space="0" w:sz="4" w:themeColor="accent3" w:val="single"/>
          <w:right w:color="a5a5a5" w:space="0" w:sz="4" w:themeColor="accent3" w:val="single"/>
        </w:tcBorders>
      </w:tcPr>
    </w:tblStylePr>
    <w:tblStylePr w:type="band1Horz">
      <w:tblPr/>
      <w:tcPr>
        <w:tcBorders>
          <w:top w:color="a5a5a5" w:space="0" w:sz="4" w:themeColor="accent3" w:val="single"/>
          <w:bottom w:color="a5a5a5" w:space="0" w:sz="4" w:themeColor="accent3"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a5a5a5" w:space="0" w:sz="4" w:themeColor="accent3" w:val="double"/>
          <w:left w:space="0" w:sz="0" w:val="nil"/>
        </w:tcBorders>
      </w:tcPr>
    </w:tblStylePr>
    <w:tblStylePr w:type="swCell">
      <w:tblPr/>
      <w:tcPr>
        <w:tcBorders>
          <w:top w:color="a5a5a5" w:space="0" w:sz="4" w:themeColor="accent3" w:val="double"/>
          <w:right w:space="0" w:sz="0" w:val="nil"/>
        </w:tcBorders>
      </w:tcPr>
    </w:tblStylePr>
  </w:style>
  <w:style w:type="character" w:styleId="CommentReference">
    <w:name w:val="annotation reference"/>
    <w:basedOn w:val="DefaultParagraphFont"/>
    <w:uiPriority w:val="99"/>
    <w:semiHidden w:val="1"/>
    <w:unhideWhenUsed w:val="1"/>
    <w:rsid w:val="00ED7F3D"/>
    <w:rPr>
      <w:sz w:val="16"/>
      <w:szCs w:val="16"/>
    </w:rPr>
  </w:style>
  <w:style w:type="paragraph" w:styleId="CommentText">
    <w:name w:val="annotation text"/>
    <w:basedOn w:val="Normal"/>
    <w:link w:val="CommentTextChar"/>
    <w:uiPriority w:val="99"/>
    <w:unhideWhenUsed w:val="1"/>
    <w:rsid w:val="00ED7F3D"/>
    <w:pPr>
      <w:spacing w:after="0" w:before="120" w:line="240" w:lineRule="auto"/>
    </w:pPr>
    <w:rPr>
      <w:rFonts w:eastAsiaTheme="minorHAnsi"/>
      <w:sz w:val="20"/>
      <w:szCs w:val="20"/>
    </w:rPr>
  </w:style>
  <w:style w:type="character" w:styleId="CommentTextChar" w:customStyle="1">
    <w:name w:val="Comment Text Char"/>
    <w:basedOn w:val="DefaultParagraphFont"/>
    <w:link w:val="CommentText"/>
    <w:uiPriority w:val="99"/>
    <w:rsid w:val="00ED7F3D"/>
    <w:rPr>
      <w:rFonts w:eastAsiaTheme="minorHAnsi"/>
      <w:sz w:val="20"/>
      <w:szCs w:val="20"/>
    </w:rPr>
  </w:style>
  <w:style w:type="paragraph" w:styleId="BalloonText">
    <w:name w:val="Balloon Text"/>
    <w:basedOn w:val="Normal"/>
    <w:link w:val="BalloonTextChar"/>
    <w:uiPriority w:val="99"/>
    <w:semiHidden w:val="1"/>
    <w:unhideWhenUsed w:val="1"/>
    <w:rsid w:val="00ED7F3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D7F3D"/>
    <w:rPr>
      <w:rFonts w:ascii="Segoe UI" w:cs="Segoe UI" w:hAnsi="Segoe UI"/>
      <w:sz w:val="18"/>
      <w:szCs w:val="18"/>
    </w:rPr>
  </w:style>
  <w:style w:type="table" w:styleId="GridTable1LightAccent5">
    <w:name w:val="Grid Table 1 Light Accent 5"/>
    <w:basedOn w:val="TableNormal"/>
    <w:uiPriority w:val="46"/>
    <w:rsid w:val="00E43813"/>
    <w:pPr>
      <w:spacing w:after="0" w:line="240" w:lineRule="auto"/>
    </w:pPr>
    <w:rPr>
      <w:rFonts w:eastAsiaTheme="minorHAnsi"/>
      <w:sz w:val="22"/>
      <w:szCs w:val="22"/>
    </w:rPr>
    <w:tblPr>
      <w:tblStyleRowBandSize w:val="1"/>
      <w:tblStyleColBandSize w:val="1"/>
      <w:tblBorders>
        <w:top w:color="b4c6e7" w:space="0" w:sz="4" w:themeColor="accent5" w:themeTint="000066" w:val="single"/>
        <w:left w:color="b4c6e7" w:space="0" w:sz="4" w:themeColor="accent5" w:themeTint="000066" w:val="single"/>
        <w:bottom w:color="b4c6e7" w:space="0" w:sz="4" w:themeColor="accent5" w:themeTint="000066" w:val="single"/>
        <w:right w:color="b4c6e7" w:space="0" w:sz="4" w:themeColor="accent5" w:themeTint="000066" w:val="single"/>
        <w:insideH w:color="b4c6e7" w:space="0" w:sz="4" w:themeColor="accent5" w:themeTint="000066" w:val="single"/>
        <w:insideV w:color="b4c6e7" w:space="0" w:sz="4" w:themeColor="accent5" w:themeTint="000066" w:val="single"/>
      </w:tblBorders>
    </w:tblPr>
    <w:tblStylePr w:type="firstRow">
      <w:rPr>
        <w:b w:val="1"/>
        <w:bCs w:val="1"/>
      </w:rPr>
      <w:tblPr/>
      <w:tcPr>
        <w:tcBorders>
          <w:bottom w:color="8eaadb" w:space="0" w:sz="12" w:themeColor="accent5" w:themeTint="000099" w:val="single"/>
        </w:tcBorders>
      </w:tcPr>
    </w:tblStylePr>
    <w:tblStylePr w:type="lastRow">
      <w:rPr>
        <w:b w:val="1"/>
        <w:bCs w:val="1"/>
      </w:rPr>
      <w:tblPr/>
      <w:tcPr>
        <w:tcBorders>
          <w:top w:color="8eaadb" w:space="0" w:sz="2" w:themeColor="accent5" w:themeTint="000099" w:val="double"/>
        </w:tcBorders>
      </w:tcPr>
    </w:tblStylePr>
    <w:tblStylePr w:type="firstCol">
      <w:rPr>
        <w:b w:val="1"/>
        <w:bCs w:val="1"/>
      </w:rPr>
    </w:tblStylePr>
    <w:tblStylePr w:type="lastCol">
      <w:rPr>
        <w:b w:val="1"/>
        <w:bCs w:val="1"/>
      </w:rPr>
    </w:tblStylePr>
  </w:style>
  <w:style w:type="paragraph" w:styleId="CommentSubject">
    <w:name w:val="annotation subject"/>
    <w:basedOn w:val="CommentText"/>
    <w:next w:val="CommentText"/>
    <w:link w:val="CommentSubjectChar"/>
    <w:uiPriority w:val="99"/>
    <w:semiHidden w:val="1"/>
    <w:unhideWhenUsed w:val="1"/>
    <w:rsid w:val="0043248F"/>
    <w:pPr>
      <w:spacing w:after="120" w:before="0"/>
    </w:pPr>
    <w:rPr>
      <w:rFonts w:eastAsiaTheme="minorEastAsia"/>
      <w:b w:val="1"/>
      <w:bCs w:val="1"/>
    </w:rPr>
  </w:style>
  <w:style w:type="character" w:styleId="CommentSubjectChar" w:customStyle="1">
    <w:name w:val="Comment Subject Char"/>
    <w:basedOn w:val="CommentTextChar"/>
    <w:link w:val="CommentSubject"/>
    <w:uiPriority w:val="99"/>
    <w:semiHidden w:val="1"/>
    <w:rsid w:val="0043248F"/>
    <w:rPr>
      <w:rFonts w:eastAsiaTheme="minorHAnsi"/>
      <w:b w:val="1"/>
      <w:bCs w:val="1"/>
      <w:sz w:val="20"/>
      <w:szCs w:val="20"/>
    </w:rPr>
  </w:style>
  <w:style w:type="paragraph" w:styleId="TOC3">
    <w:name w:val="toc 3"/>
    <w:basedOn w:val="Normal"/>
    <w:next w:val="Normal"/>
    <w:autoRedefine w:val="1"/>
    <w:uiPriority w:val="39"/>
    <w:unhideWhenUsed w:val="1"/>
    <w:rsid w:val="00842B40"/>
    <w:pPr>
      <w:spacing w:after="100" w:line="259" w:lineRule="auto"/>
      <w:ind w:left="440"/>
    </w:pPr>
    <w:rPr>
      <w:rFonts w:cs="Times New Roman"/>
      <w:sz w:val="22"/>
      <w:szCs w:val="22"/>
      <w:lang w:val="en-US"/>
    </w:rPr>
  </w:style>
  <w:style w:type="character" w:styleId="UnresolvedMention1" w:customStyle="1">
    <w:name w:val="Unresolved Mention1"/>
    <w:basedOn w:val="DefaultParagraphFont"/>
    <w:uiPriority w:val="99"/>
    <w:semiHidden w:val="1"/>
    <w:unhideWhenUsed w:val="1"/>
    <w:rsid w:val="00141CE2"/>
    <w:rPr>
      <w:color w:val="605e5c"/>
      <w:shd w:color="auto" w:fill="e1dfdd" w:val="clear"/>
    </w:rPr>
  </w:style>
  <w:style w:type="table" w:styleId="GridTable5DarkAccent1">
    <w:name w:val="Grid Table 5 Dark Accent 1"/>
    <w:basedOn w:val="TableNormal"/>
    <w:uiPriority w:val="50"/>
    <w:rsid w:val="00FE16AE"/>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eeaf6"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5b9bd5"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5b9bd5" w:themeFill="accent1" w:val="clear"/>
      </w:tcPr>
    </w:tblStylePr>
    <w:tblStylePr w:type="band1Vert">
      <w:tblPr/>
      <w:tcPr>
        <w:shd w:color="auto" w:fill="bdd6ee" w:themeFill="accent1" w:themeFillTint="000066" w:val="clear"/>
      </w:tcPr>
    </w:tblStylePr>
    <w:tblStylePr w:type="band1Horz">
      <w:tblPr/>
      <w:tcPr>
        <w:shd w:color="auto" w:fill="bdd6ee" w:themeFill="accent1" w:themeFillTint="000066" w:val="clear"/>
      </w:tcPr>
    </w:tblStylePr>
  </w:style>
  <w:style w:type="paragraph" w:styleId="FootnoteText">
    <w:name w:val="footnote text"/>
    <w:basedOn w:val="Normal"/>
    <w:link w:val="FootnoteTextChar"/>
    <w:uiPriority w:val="99"/>
    <w:semiHidden w:val="1"/>
    <w:unhideWhenUsed w:val="1"/>
    <w:rsid w:val="00127A70"/>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127A70"/>
    <w:rPr>
      <w:sz w:val="20"/>
      <w:szCs w:val="20"/>
    </w:rPr>
  </w:style>
  <w:style w:type="character" w:styleId="FootnoteReference">
    <w:name w:val="footnote reference"/>
    <w:basedOn w:val="DefaultParagraphFont"/>
    <w:uiPriority w:val="99"/>
    <w:semiHidden w:val="1"/>
    <w:unhideWhenUsed w:val="1"/>
    <w:rsid w:val="00127A70"/>
    <w:rPr>
      <w:vertAlign w:val="superscript"/>
    </w:rPr>
  </w:style>
  <w:style w:type="paragraph" w:styleId="NormalIndent">
    <w:name w:val="Normal Indent"/>
    <w:basedOn w:val="Normal"/>
    <w:rsid w:val="00613B75"/>
    <w:pPr>
      <w:spacing w:line="240" w:lineRule="auto"/>
      <w:ind w:left="720"/>
      <w:jc w:val="both"/>
    </w:pPr>
    <w:rPr>
      <w:rFonts w:ascii="Arial" w:cs="Times New Roman" w:eastAsia="Times New Roman" w:hAnsi="Arial"/>
      <w:sz w:val="22"/>
      <w:szCs w:val="20"/>
      <w:lang w:val="en-GB"/>
    </w:rPr>
  </w:style>
  <w:style w:type="character" w:styleId="PlaceholderText">
    <w:name w:val="Placeholder Text"/>
    <w:basedOn w:val="DefaultParagraphFont"/>
    <w:uiPriority w:val="99"/>
    <w:semiHidden w:val="1"/>
    <w:rsid w:val="00710EF4"/>
    <w:rPr>
      <w:color w:val="808080"/>
    </w:rPr>
  </w:style>
  <w:style w:type="paragraph" w:styleId="Revision">
    <w:name w:val="Revision"/>
    <w:hidden w:val="1"/>
    <w:uiPriority w:val="99"/>
    <w:semiHidden w:val="1"/>
    <w:rsid w:val="00590005"/>
    <w:pPr>
      <w:spacing w:after="0" w:line="240" w:lineRule="auto"/>
    </w:pPr>
  </w:style>
  <w:style w:type="paragraph" w:styleId="Frameworktitle" w:customStyle="1">
    <w:name w:val="Framework title"/>
    <w:basedOn w:val="Normal"/>
    <w:next w:val="Normal"/>
    <w:qFormat w:val="1"/>
    <w:rsid w:val="00C4616B"/>
    <w:pPr>
      <w:spacing w:after="240" w:line="240" w:lineRule="auto"/>
    </w:pPr>
    <w:rPr>
      <w:rFonts w:ascii="Calibri Light" w:hAnsi="Calibri Light"/>
      <w:sz w:val="52"/>
    </w:rPr>
  </w:style>
  <w:style w:type="paragraph" w:styleId="Heading1A" w:customStyle="1">
    <w:name w:val="Heading 1A"/>
    <w:basedOn w:val="Heading1"/>
    <w:link w:val="Heading1AChar"/>
    <w:qFormat w:val="1"/>
    <w:rsid w:val="002246FC"/>
    <w:pPr>
      <w:numPr>
        <w:numId w:val="2"/>
      </w:numPr>
    </w:pPr>
    <w:rPr>
      <w:color w:val="25215d"/>
      <w:u w:val="single"/>
    </w:rPr>
  </w:style>
  <w:style w:type="character" w:styleId="Heading1AChar" w:customStyle="1">
    <w:name w:val="Heading 1A Char"/>
    <w:basedOn w:val="Heading1Char"/>
    <w:link w:val="Heading1A"/>
    <w:rsid w:val="002246FC"/>
    <w:rPr>
      <w:b w:val="1"/>
      <w:color w:val="25215d"/>
      <w:sz w:val="22"/>
      <w:szCs w:val="22"/>
      <w:u w:val="single"/>
    </w:rPr>
  </w:style>
  <w:style w:type="paragraph" w:styleId="Subtitle">
    <w:name w:val="Subtitle"/>
    <w:basedOn w:val="Normal"/>
    <w:next w:val="Normal"/>
    <w:pPr>
      <w:spacing w:after="240" w:line="240" w:lineRule="auto"/>
    </w:pPr>
    <w:rPr>
      <w:rFonts w:ascii="Calibri" w:cs="Calibri" w:eastAsia="Calibri" w:hAnsi="Calibri"/>
      <w:color w:val="404040"/>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0.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http://system.prompt.org.au/download/document.aspx?id=2364700&amp;code=B20DE4523A31C370B7B1DA92915DFCB2" TargetMode="External"/><Relationship Id="rId22" Type="http://schemas.openxmlformats.org/officeDocument/2006/relationships/footer" Target="footer1.xml"/><Relationship Id="rId10" Type="http://schemas.openxmlformats.org/officeDocument/2006/relationships/hyperlink" Target="about:blank" TargetMode="External"/><Relationship Id="rId21" Type="http://schemas.openxmlformats.org/officeDocument/2006/relationships/footer" Target="footer3.xml"/><Relationship Id="rId13" Type="http://schemas.openxmlformats.org/officeDocument/2006/relationships/hyperlink" Target="https://system.prompt.org.au/Download/Document.aspx?id=35035449&amp;code=12A36ACFA252557825BEB4CE317E01DE" TargetMode="External"/><Relationship Id="rId12" Type="http://schemas.openxmlformats.org/officeDocument/2006/relationships/hyperlink" Target="https://system.prompt.org.au/Download/Document.aspx?id=42705623&amp;code=05E09A6C65255385FDEE5ED3329CD0B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15" Type="http://schemas.openxmlformats.org/officeDocument/2006/relationships/hyperlink" Target="https://app.prompt.org.au/download/178389?code=5181e098-5d8c-4bc7-95ad-9b25125a1c5a" TargetMode="External"/><Relationship Id="rId14" Type="http://schemas.openxmlformats.org/officeDocument/2006/relationships/image" Target="media/image1.png"/><Relationship Id="rId17" Type="http://schemas.openxmlformats.org/officeDocument/2006/relationships/header" Target="header2.xml"/><Relationship Id="rId16" Type="http://schemas.openxmlformats.org/officeDocument/2006/relationships/hyperlink" Target="https://app.prompt.org.au/download/210906?code=85e1fcbf-ebc2-42cc-a8d2-08620533ddd6"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3.png"/><Relationship Id="rId8" Type="http://schemas.openxmlformats.org/officeDocument/2006/relationships/hyperlink" Target="https://app.prompt.org.au/download/21227?code=b6387495698fdbdf11a68021d304ac0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hk/THaLqKUUb3QcO8Guwzc+5kw==">CgMxLjAyDmguZ2h5NDMxNnQyaGFxMg5oLmdncmh5NDVjd2ZsNzIOaC54MXZvaWZ5aTN1MG0yDmguZGlmbHBzNWI1bWNwMg5oLm1nZzhsdno3aWRhNzIOaC5iYzBnbWNmeDYxNGgyDmguZHZjeTNpdzR0ZnJuMg5oLndnenhlMDNjaGt0cjIOaC5zdThkcnR4emRzbWQ4AHIhMTFDSGVMUkpHSV9BTGRZbnhuZWhQdm14eEdyaVJuOXFi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2025-11-20T21:53:00Z</dcterms:created>
  <dc:creator>Jenni Clark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0x010100BF5D460902485640ACEFDC4CFE42E0BF</vt:lpwstr>
  </property>
  <property fmtid="{D5CDD505-2E9C-101B-9397-08002B2CF9AE}" pid="4" name="MediaServiceImageTags">
    <vt:lpwstr/>
  </property>
</Properties>
</file>