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Implementation Science Papers with DOIs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CFIR Research Team (2024) – </w:t>
      </w:r>
      <w:r w:rsidDel="00000000" w:rsidR="00000000" w:rsidRPr="00000000">
        <w:rPr>
          <w:i w:val="1"/>
          <w:rtl w:val="0"/>
        </w:rPr>
        <w:t xml:space="preserve">Updated CFIR framework (CFIR 2.0)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10.1186/s13012-022-01245-0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Damschroder et al. (2009) – </w:t>
      </w:r>
      <w:r w:rsidDel="00000000" w:rsidR="00000000" w:rsidRPr="00000000">
        <w:rPr>
          <w:i w:val="1"/>
          <w:rtl w:val="0"/>
        </w:rPr>
        <w:t xml:space="preserve">Fostering implementation of health services research findings into practice: A consolidated framework for advancing implementation science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10.1186/1748-5908-4-50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Enticott et al. (2021) – </w:t>
      </w:r>
      <w:r w:rsidDel="00000000" w:rsidR="00000000" w:rsidRPr="00000000">
        <w:rPr>
          <w:i w:val="1"/>
          <w:rtl w:val="0"/>
        </w:rPr>
        <w:t xml:space="preserve">Learning health systems using data to drive healthcare improvement and impact: a systematic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10.1186/s12913-021-06215-8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Melder et al. (2020) – </w:t>
      </w:r>
      <w:r w:rsidDel="00000000" w:rsidR="00000000" w:rsidRPr="00000000">
        <w:rPr>
          <w:i w:val="1"/>
          <w:rtl w:val="0"/>
        </w:rPr>
        <w:t xml:space="preserve">An overview of healthcare improvement… in a learning health system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10.1111/imj.14876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Melder et al. (2022) – </w:t>
      </w:r>
      <w:r w:rsidDel="00000000" w:rsidR="00000000" w:rsidRPr="00000000">
        <w:rPr>
          <w:i w:val="1"/>
          <w:rtl w:val="0"/>
        </w:rPr>
        <w:t xml:space="preserve">Integrating healthcare improvement complexity with implementation science: a longitudinal qualitative case study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10.1186/s12913-022-07505-8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Enticott et al. (2021) – </w:t>
      </w:r>
      <w:r w:rsidDel="00000000" w:rsidR="00000000" w:rsidRPr="00000000">
        <w:rPr>
          <w:i w:val="1"/>
          <w:rtl w:val="0"/>
        </w:rPr>
        <w:t xml:space="preserve">A Learning Health System Framework to Operationalize Health Data to Improve Quality Care: An Australian Perspective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10.3389/fmed.2021.730021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Ng et al. (2025) – </w:t>
      </w:r>
      <w:r w:rsidDel="00000000" w:rsidR="00000000" w:rsidRPr="00000000">
        <w:rPr>
          <w:i w:val="1"/>
          <w:rtl w:val="0"/>
        </w:rPr>
        <w:t xml:space="preserve">Consumer and community involvement: CCIRI protocol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10.1186/s12961-025-01293-8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Rajit et al. (2024) – </w:t>
      </w:r>
      <w:r w:rsidDel="00000000" w:rsidR="00000000" w:rsidRPr="00000000">
        <w:rPr>
          <w:i w:val="1"/>
          <w:rtl w:val="0"/>
        </w:rPr>
        <w:t xml:space="preserve">Tools and frameworks for evaluating implementation of learning health systems: a scoping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10.1186/s12961-024-01179-8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Teede et al. (2024) – </w:t>
      </w:r>
      <w:r w:rsidDel="00000000" w:rsidR="00000000" w:rsidRPr="00000000">
        <w:rPr>
          <w:i w:val="1"/>
          <w:rtl w:val="0"/>
        </w:rPr>
        <w:t xml:space="preserve">Learning together for better health using an evidence-based Learning Health System framework: stroke case study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10.1186/s12916-024-03416-w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Rajit et al. (2024) – </w:t>
      </w:r>
      <w:r w:rsidDel="00000000" w:rsidR="00000000" w:rsidRPr="00000000">
        <w:rPr>
          <w:i w:val="1"/>
          <w:rtl w:val="0"/>
        </w:rPr>
        <w:t xml:space="preserve">Learning health systems and evidence ecosystems: future of evidence-based medicine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10.1186/s12961-023-01095-2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Atkins et al. (2017) – </w:t>
      </w:r>
      <w:r w:rsidDel="00000000" w:rsidR="00000000" w:rsidRPr="00000000">
        <w:rPr>
          <w:i w:val="1"/>
          <w:rtl w:val="0"/>
        </w:rPr>
        <w:t xml:space="preserve">A guide to using the Theoretical Domains Framework… to investigate implementation problems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10.1186/s13012-017-0605-9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Michie et al. (2011) – </w:t>
      </w:r>
      <w:r w:rsidDel="00000000" w:rsidR="00000000" w:rsidRPr="00000000">
        <w:rPr>
          <w:i w:val="1"/>
          <w:rtl w:val="0"/>
        </w:rPr>
        <w:t xml:space="preserve">The behaviour change wheel: a new method for characterising and designing behaviour change interventions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10.1186/1748-5908-6-42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Richardson et al. (2019) – </w:t>
      </w:r>
      <w:r w:rsidDel="00000000" w:rsidR="00000000" w:rsidRPr="00000000">
        <w:rPr>
          <w:i w:val="1"/>
          <w:rtl w:val="0"/>
        </w:rPr>
        <w:t xml:space="preserve">Using the theoretical domains framework and the behavioural change wheel…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10.1136/bmjopen-2018-024950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Glasgow et al. (1999) – </w:t>
      </w:r>
      <w:r w:rsidDel="00000000" w:rsidR="00000000" w:rsidRPr="00000000">
        <w:rPr>
          <w:i w:val="1"/>
          <w:rtl w:val="0"/>
        </w:rPr>
        <w:t xml:space="preserve">Evaluating the public health impact of health promotion interventions: the RE-AIM framework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10.2105/AJPH.89.9.1322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Hemming et al. (2015) – </w:t>
      </w:r>
      <w:r w:rsidDel="00000000" w:rsidR="00000000" w:rsidRPr="00000000">
        <w:rPr>
          <w:i w:val="1"/>
          <w:rtl w:val="0"/>
        </w:rPr>
        <w:t xml:space="preserve">The stepped wedge cluster randomised trial: rationale…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10.1136/bmj.h391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Hemming et al. (2019) – </w:t>
      </w:r>
      <w:r w:rsidDel="00000000" w:rsidR="00000000" w:rsidRPr="00000000">
        <w:rPr>
          <w:i w:val="1"/>
          <w:rtl w:val="0"/>
        </w:rPr>
        <w:t xml:space="preserve">Introducing the new CONSORT extension for stepped-wedge cluster randomised trials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10.1186/s13063-018-3116-3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Chan et al. (2013) – </w:t>
      </w:r>
      <w:r w:rsidDel="00000000" w:rsidR="00000000" w:rsidRPr="00000000">
        <w:rPr>
          <w:i w:val="1"/>
          <w:rtl w:val="0"/>
        </w:rPr>
        <w:t xml:space="preserve">SPIRIT 2013 statement: defining standard protocol items for clinical trials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10.7326/0003-4819-158-3-201302050-00583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Brown &amp; Lilford (2006) – </w:t>
      </w:r>
      <w:r w:rsidDel="00000000" w:rsidR="00000000" w:rsidRPr="00000000">
        <w:rPr>
          <w:i w:val="1"/>
          <w:rtl w:val="0"/>
        </w:rPr>
        <w:t xml:space="preserve">The stepped wedge trial design: a systematic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10.1186/1471-2288-6-54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Bion et al. (2013) – </w:t>
      </w:r>
      <w:r w:rsidDel="00000000" w:rsidR="00000000" w:rsidRPr="00000000">
        <w:rPr>
          <w:i w:val="1"/>
          <w:rtl w:val="0"/>
        </w:rPr>
        <w:t xml:space="preserve">‘Matching Michigan’: stepped interventional programme to minimise central venous catheter-bloodstream infections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10.1136/bmjqs-2012-000936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Rodriguez et al. (2015) – </w:t>
      </w:r>
      <w:r w:rsidDel="00000000" w:rsidR="00000000" w:rsidRPr="00000000">
        <w:rPr>
          <w:i w:val="1"/>
          <w:rtl w:val="0"/>
        </w:rPr>
        <w:t xml:space="preserve">A multimodal intervention to improve hand hygiene in ICUs…: a stepped wedge trial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10.1093/intqhc/mzv020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Zhou et al. (2021) – </w:t>
      </w:r>
      <w:r w:rsidDel="00000000" w:rsidR="00000000" w:rsidRPr="00000000">
        <w:rPr>
          <w:i w:val="1"/>
          <w:rtl w:val="0"/>
        </w:rPr>
        <w:t xml:space="preserve">A stepped wedge cluster randomized control trial to evaluate implementation… STEMI in COVID-19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10.1186/s13012-021-01138-3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Barker et al. (2016) – </w:t>
      </w:r>
      <w:r w:rsidDel="00000000" w:rsidR="00000000" w:rsidRPr="00000000">
        <w:rPr>
          <w:i w:val="1"/>
          <w:rtl w:val="0"/>
        </w:rPr>
        <w:t xml:space="preserve">A framework for scaling up health interventions: lessons from Africa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10.1186/s13012-016-0375-0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Dawda &amp; Knight (2018) – </w:t>
      </w:r>
      <w:r w:rsidDel="00000000" w:rsidR="00000000" w:rsidRPr="00000000">
        <w:rPr>
          <w:i w:val="1"/>
          <w:rtl w:val="0"/>
        </w:rPr>
        <w:t xml:space="preserve">Experience-Based Co-Design toolkit for Australia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(Tool published by Consumers Health Forum of Australia – DOI not available)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Walker et al. (2020) – </w:t>
      </w:r>
      <w:r w:rsidDel="00000000" w:rsidR="00000000" w:rsidRPr="00000000">
        <w:rPr>
          <w:i w:val="1"/>
          <w:rtl w:val="0"/>
        </w:rPr>
        <w:t xml:space="preserve">Research capacity of Australian and New Zealand emergency medicine departments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10.1186/s12245-020-0270-5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Walton et al. (2017) – </w:t>
      </w:r>
      <w:r w:rsidDel="00000000" w:rsidR="00000000" w:rsidRPr="00000000">
        <w:rPr>
          <w:i w:val="1"/>
          <w:rtl w:val="0"/>
        </w:rPr>
        <w:t xml:space="preserve">Patients' reports of adverse events: data linkage study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pacing w:after="28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DOI: 10.1136/bmjqs-2016-005632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-228599</wp:posOffset>
          </wp:positionH>
          <wp:positionV relativeFrom="paragraph">
            <wp:posOffset>-333374</wp:posOffset>
          </wp:positionV>
          <wp:extent cx="595313" cy="595313"/>
          <wp:effectExtent b="0" l="0" r="0" t="0"/>
          <wp:wrapNone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5313" cy="5953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-876299</wp:posOffset>
          </wp:positionH>
          <wp:positionV relativeFrom="paragraph">
            <wp:posOffset>-335279</wp:posOffset>
          </wp:positionV>
          <wp:extent cx="642938" cy="68580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2938" cy="685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4819650</wp:posOffset>
          </wp:positionH>
          <wp:positionV relativeFrom="paragraph">
            <wp:posOffset>-335279</wp:posOffset>
          </wp:positionV>
          <wp:extent cx="1776413" cy="687172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76413" cy="68717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3Char" w:customStyle="1">
    <w:name w:val="Heading 3 Char"/>
    <w:basedOn w:val="DefaultParagraphFont"/>
    <w:link w:val="Heading3"/>
    <w:uiPriority w:val="9"/>
    <w:rsid w:val="00155233"/>
    <w:rPr>
      <w:rFonts w:ascii="Times New Roman" w:cs="Times New Roman" w:eastAsia="Times New Roman" w:hAnsi="Times New Roman"/>
      <w:b w:val="1"/>
      <w:bCs w:val="1"/>
      <w:sz w:val="27"/>
      <w:szCs w:val="27"/>
      <w:lang w:eastAsia="en-AU"/>
    </w:rPr>
  </w:style>
  <w:style w:type="character" w:styleId="Strong">
    <w:name w:val="Strong"/>
    <w:basedOn w:val="DefaultParagraphFont"/>
    <w:uiPriority w:val="22"/>
    <w:qFormat w:val="1"/>
    <w:rsid w:val="00155233"/>
    <w:rPr>
      <w:b w:val="1"/>
      <w:bCs w:val="1"/>
    </w:rPr>
  </w:style>
  <w:style w:type="paragraph" w:styleId="NormalWeb">
    <w:name w:val="Normal (Web)"/>
    <w:basedOn w:val="Normal"/>
    <w:uiPriority w:val="99"/>
    <w:semiHidden w:val="1"/>
    <w:unhideWhenUsed w:val="1"/>
    <w:rsid w:val="0015523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AU"/>
    </w:rPr>
  </w:style>
  <w:style w:type="character" w:styleId="relative" w:customStyle="1">
    <w:name w:val="relative"/>
    <w:basedOn w:val="DefaultParagraphFont"/>
    <w:rsid w:val="00155233"/>
  </w:style>
  <w:style w:type="character" w:styleId="Emphasis">
    <w:name w:val="Emphasis"/>
    <w:basedOn w:val="DefaultParagraphFont"/>
    <w:uiPriority w:val="20"/>
    <w:qFormat w:val="1"/>
    <w:rsid w:val="00155233"/>
    <w:rPr>
      <w:i w:val="1"/>
      <w:iCs w:val="1"/>
    </w:rPr>
  </w:style>
  <w:style w:type="character" w:styleId="ms-1" w:customStyle="1">
    <w:name w:val="ms-1"/>
    <w:basedOn w:val="DefaultParagraphFont"/>
    <w:rsid w:val="00155233"/>
  </w:style>
  <w:style w:type="character" w:styleId="max-w-full" w:customStyle="1">
    <w:name w:val="max-w-full"/>
    <w:basedOn w:val="DefaultParagraphFont"/>
    <w:rsid w:val="00155233"/>
  </w:style>
  <w:style w:type="character" w:styleId="-me-1" w:customStyle="1">
    <w:name w:val="-me-1"/>
    <w:basedOn w:val="DefaultParagraphFont"/>
    <w:rsid w:val="00155233"/>
  </w:style>
  <w:style w:type="character" w:styleId="TitleChar" w:customStyle="1">
    <w:name w:val="Title Char"/>
    <w:basedOn w:val="DefaultParagraphFont"/>
    <w:link w:val="Title"/>
    <w:uiPriority w:val="10"/>
    <w:rsid w:val="0015523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 w:val="1"/>
    <w:rsid w:val="002453D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53DD"/>
  </w:style>
  <w:style w:type="paragraph" w:styleId="Footer">
    <w:name w:val="footer"/>
    <w:basedOn w:val="Normal"/>
    <w:link w:val="FooterChar"/>
    <w:uiPriority w:val="99"/>
    <w:unhideWhenUsed w:val="1"/>
    <w:rsid w:val="002453D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53D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CSu+uVoqnLZ9P9+9Oac4NNNrew==">CgMxLjA4AHIhMVRaNl9BR242Qm9KZ0U4WnU3Snc3c3Rqb01KZndpTW42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2025-07-23T22:49:00Z</dcterms:created>
  <dc:creator>Sundy Yang</dc:creator>
</cp:coreProperties>
</file>