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rtl w:val="0"/>
        </w:rPr>
        <w:t xml:space="preserve">Peripheral Intravenous Cannula (PIVC) Papers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before="28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Gledstone-Brown &amp; McHugh (2018)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Idle “just-in-case” peripheral intravenous cannulas in the emergency department: Is something wrong?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10.1111/1742-6723.12877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Guihard et al. (2018)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Appropriateness and Complications of Peripheral Venous Catheters Placed in an Emergency Department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10.1016/j.jemermed.2017.10.005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Hawkins et al. (2018)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Peripheral Intravenous Cannula Insertion and Use in the Emergency Department: An Intervention Study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10.1111/acem.13335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Lim et al. (2020)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Evaluating the sustained effectiveness of a multimodal intervention aimed at influencing PIVC insertion practices in the emergency department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10.1136/emermed-2019-208852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Cooke et al. (2018)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“Not ‘just’ an intravenous line”: Consumer perspectives on PIVC. An international cross-sectional survey.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10.1371/journal.pone.0193436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Stuart et al. (2013)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PIVC-associated Staphylococcus aureus bacteraemia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shd w:fill="fefefe" w:val="clear"/>
          <w:rtl w:val="0"/>
        </w:rPr>
        <w:t xml:space="preserve">doi: 10.5694/mja12.11699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Limm et al. (2013)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Half of all PIVCs in an Australian tertiary ED are unused: pain with no gain?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10.1016/j.annemergmed.2013.02.022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Egerton-Warburton et al. (2018)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What the hell is water? How to use deliberate clinical inertia...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10.1111/1742-6723.12950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Morgan et al. (2022)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From little things, big things grow: National cost of PIVC insertion in Australian adult emergency care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10.1111/1742-6723.14009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Bhatt et al. (2021)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Effect of multimodal interventions on PIVC-associated S. aureus bacteraemia and insertion rates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10.1111/acem.14225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Egerton-Warburton et al. (2024)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Impact of a simplified cannulation procedure pack on PIVC-associated S. aureus bacteraemia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10.1111/acem.14942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Kelly &amp; Egerton-Warburton (2014)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When is PIVC insertion indicated in 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10.1111/1742-6723.12380 (verify)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Egerton-Warburton &amp; Ieraci (2013)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First do no harm—First do nothing...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https://doi.org/10.1111/1742-6723.12109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Decker et al. (2016)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PIVC insertion in the emergency department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DOI: 10.1016/j.aenj.2015.12.003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McAllan et al. (2019)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Modeling daily ED presentations in an Australian capital city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10.1111/1742-6723.13245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Holloway et al. (2017)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Paediatric PIVC usage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DOI: 10.1111/1742-6723.12881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Steel &amp; Goodacre (2016)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The impact of PIVC in ambulance and 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highlight w:val="white"/>
          <w:rtl w:val="0"/>
        </w:rPr>
        <w:t xml:space="preserve">DOI:</w:t>
      </w:r>
      <w:hyperlink r:id="rId7">
        <w:r w:rsidDel="00000000" w:rsidR="00000000" w:rsidRPr="00000000">
          <w:rPr>
            <w:color w:val="000000"/>
            <w:highlight w:val="white"/>
            <w:u w:val="single"/>
            <w:rtl w:val="0"/>
          </w:rPr>
          <w:t xml:space="preserve">10.1136/emermed-2016-206402.14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Abbas et al. (2007)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Peripheral intravenous catheter infection and failure: A systematic review and meta-analysis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https://doi.org/10.1016/j.ijnurstu.2023.104673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before="28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Austin et al. (2016)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PIVC placement is an underrecognized source of S. aureus bloodstream infection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DOI: 10.1093/ofid/ofw072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Marsh et al. (2018)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Observational Study of Peripheral Intravenous Catheter Outcomes in Adult Hospitalized Patients: A Multivariable Analysis of Peripheral Intravenous Catheter Failure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211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DOI: 10.12788/jhm.2867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before="28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Atay et al. (2018)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Phlebitis-related peripheral venous catheterization and the associated risk factors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DOI: 10.4103/njcp.njcp_337_17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line="240" w:lineRule="auto"/>
        <w:ind w:left="927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Campbell (1998)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- IV-related phlebitis, complications and length of hospital stay: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https://doi.org/10.12968/bjon.1998.7.21.5551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before="280" w:line="240" w:lineRule="auto"/>
        <w:ind w:left="927" w:hanging="360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Alexandrou et al. (2018)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Use of Short Peripheral Intravenous Catheters: Characteristics, Management, and Outcomes Worldwide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DOI: 10.12788/jhm.3039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Tuffaha et al. (2018)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Cost-effectiveness analysis of clinically indicated versus routine replacement of peripheral intravenous catheters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DOI: 10.1007/s40258-013-0077-2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McCarthy &amp; Avent (2020)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Oral or IV antibiotics?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DOI: 10.18773/austprescr.2020.008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before="0" w:line="240" w:lineRule="auto"/>
        <w:ind w:left="927" w:hanging="360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Enticott et al. (2024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)-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rtl w:val="0"/>
        </w:rPr>
        <w:t xml:space="preserve">Statistical Analysis Plan: Implementing Best Practice for Peripheral Intravenous Cannula in Australian Emergency Departments: A Stepped-Wedge Cluster Controlled Trial and Health Economic Analysis.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spacing w:after="0" w:before="0" w:line="240" w:lineRule="auto"/>
        <w:ind w:left="1440" w:hanging="360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https://doi.org/10.26180/26172397.v6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before="0" w:line="240" w:lineRule="auto"/>
        <w:ind w:left="927" w:hanging="36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Yang et al (2024)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-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Audit plan to improve routine data quality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https://doi.org/10.26180/26172397.v6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lineRule="auto"/>
        <w:ind w:left="927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Egerton-Warburton et al (2025)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- Implementing best practice for peripheral intravenous cannula use in Australian emergency departments: a stepped-wedge cluster-controlled trial and health economic analysis protocol 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931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https://doi.org/10.1136/bmjopen-2024-096962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29. </w:t>
      </w:r>
      <w:r w:rsidDel="00000000" w:rsidR="00000000" w:rsidRPr="00000000">
        <w:rPr>
          <w:color w:val="1155cc"/>
          <w:u w:val="single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Infection prevention and control priorities to improve peripheral intravenous catheter care – Setting a national priority agenda.</w:t>
      </w:r>
      <w:r w:rsidDel="00000000" w:rsidR="00000000" w:rsidRPr="00000000">
        <w:rPr>
          <w:rtl w:val="0"/>
        </w:rPr>
        <w:t xml:space="preserve"> (2025). </w:t>
      </w:r>
      <w:r w:rsidDel="00000000" w:rsidR="00000000" w:rsidRPr="00000000">
        <w:rPr>
          <w:i w:val="1"/>
          <w:iCs w:val="1"/>
          <w:rtl w:val="0"/>
        </w:rPr>
        <w:t xml:space="preserve">Infectious Disease &amp; Health.</w:t>
      </w:r>
      <w:hyperlink r:id="rId11">
        <w:r w:rsidDel="00000000" w:rsidR="00000000" w:rsidRPr="00000000">
          <w:rPr>
            <w:rtl w:val="0"/>
          </w:rPr>
          <w:t xml:space="preserve"> </w:t>
        </w:r>
      </w:hyperlink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https://doi.org/10.1016/j.idh.2025.07.001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30. </w:t>
      </w:r>
      <w:r w:rsidDel="00000000" w:rsidR="00000000" w:rsidRPr="00000000">
        <w:rPr>
          <w:b w:val="1"/>
          <w:bCs w:val="1"/>
          <w:rtl w:val="0"/>
        </w:rPr>
        <w:t xml:space="preserve">Egerton-Warburton D et al (2024)</w:t>
      </w:r>
      <w:r w:rsidDel="00000000" w:rsidR="00000000" w:rsidRPr="00000000">
        <w:rPr>
          <w:rtl w:val="0"/>
        </w:rPr>
        <w:t xml:space="preserve"> -  Impact of a simplified cannulation procedure pack on peripheral intravenous catheter-associated </w:t>
      </w:r>
      <w:r w:rsidDel="00000000" w:rsidR="00000000" w:rsidRPr="00000000">
        <w:rPr>
          <w:i w:val="1"/>
          <w:iCs w:val="1"/>
          <w:rtl w:val="0"/>
        </w:rPr>
        <w:t xml:space="preserve">Staphylococcus aureus</w:t>
      </w:r>
      <w:r w:rsidDel="00000000" w:rsidR="00000000" w:rsidRPr="00000000">
        <w:rPr>
          <w:rtl w:val="0"/>
        </w:rPr>
        <w:t xml:space="preserve"> bacteremia: an interrupted time series analysis. </w:t>
      </w:r>
      <w:r w:rsidDel="00000000" w:rsidR="00000000" w:rsidRPr="00000000">
        <w:rPr>
          <w:i w:val="1"/>
          <w:iCs w:val="1"/>
          <w:rtl w:val="0"/>
        </w:rPr>
        <w:t xml:space="preserve">Acad Emerg Med</w:t>
      </w:r>
      <w:r w:rsidDel="00000000" w:rsidR="00000000" w:rsidRPr="00000000">
        <w:rPr>
          <w:rtl w:val="0"/>
        </w:rPr>
        <w:t xml:space="preserve"> 31(10):1065–1067.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https://doi.org/10.1111/acem.14942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31.</w:t>
      </w:r>
      <w:r w:rsidDel="00000000" w:rsidR="00000000" w:rsidRPr="00000000">
        <w:rPr>
          <w:b w:val="1"/>
          <w:bCs w:val="1"/>
          <w:rtl w:val="0"/>
        </w:rPr>
        <w:t xml:space="preserve"> Alexandrou E, et al (2018) </w:t>
      </w:r>
      <w:r w:rsidDel="00000000" w:rsidR="00000000" w:rsidRPr="00000000">
        <w:rPr>
          <w:rtl w:val="0"/>
        </w:rPr>
        <w:t xml:space="preserve">– Use of short peripheral intravenous catheters: characteristics, management, and outcomes worldwide. J Hosp Med 13(2):E1–E10.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https://doi.org/10.12788/jhm.3039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31.</w:t>
      </w:r>
      <w:r w:rsidDel="00000000" w:rsidR="00000000" w:rsidRPr="00000000">
        <w:rPr>
          <w:b w:val="1"/>
          <w:bCs w:val="1"/>
          <w:rtl w:val="0"/>
        </w:rPr>
        <w:t xml:space="preserve"> Alexandrou E etal (2015) </w:t>
      </w:r>
      <w:r w:rsidDel="00000000" w:rsidR="00000000" w:rsidRPr="00000000">
        <w:rPr>
          <w:rtl w:val="0"/>
        </w:rPr>
        <w:t xml:space="preserve">– International prevalence of the use of peripheral intravenous catheters. J Hosp Med 10(8):530–533.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 https://doi.org/10.1002/jhm.2389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32. </w:t>
      </w:r>
      <w:r w:rsidDel="00000000" w:rsidR="00000000" w:rsidRPr="00000000">
        <w:rPr>
          <w:b w:val="1"/>
          <w:bCs w:val="1"/>
          <w:rtl w:val="0"/>
        </w:rPr>
        <w:t xml:space="preserve">Havers SM et al. (2025) </w:t>
      </w:r>
      <w:r w:rsidDel="00000000" w:rsidR="00000000" w:rsidRPr="00000000">
        <w:rPr>
          <w:rtl w:val="0"/>
        </w:rPr>
        <w:t xml:space="preserve">– Infection prevention and control priorities to improve PIVC care in Australia. </w:t>
      </w:r>
      <w:r w:rsidDel="00000000" w:rsidR="00000000" w:rsidRPr="00000000">
        <w:rPr>
          <w:i w:val="1"/>
          <w:iCs w:val="1"/>
          <w:rtl w:val="0"/>
        </w:rPr>
        <w:t xml:space="preserve">Infection, Disease &amp; Health</w:t>
      </w:r>
      <w:r w:rsidDel="00000000" w:rsidR="00000000" w:rsidRPr="00000000">
        <w:rPr>
          <w:rtl w:val="0"/>
        </w:rPr>
        <w:t xml:space="preserve">. 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https://doi.org/10.1016/j.idh.2025.00046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33. Ng AH, Reeder S, Jones A, Cahill A, Langridge D, Baker S, Heiss L, Dorin A, Teede H. Consumer and community involvement: implementation research for impact (CCIRI) – implementing evidence‑based patient and public involvement across health and medical research in Australia – a mixed methods protocol. </w:t>
      </w:r>
      <w:r w:rsidDel="00000000" w:rsidR="00000000" w:rsidRPr="00000000">
        <w:rPr>
          <w:i w:val="1"/>
          <w:iCs w:val="1"/>
          <w:rtl w:val="0"/>
        </w:rPr>
        <w:t xml:space="preserve">Health Res Policy Syst</w:t>
      </w:r>
      <w:r w:rsidDel="00000000" w:rsidR="00000000" w:rsidRPr="00000000">
        <w:rPr>
          <w:rtl w:val="0"/>
        </w:rPr>
        <w:t xml:space="preserve">. 2025;23:25. doi:10.1186/s12961-025-01293-0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34. Bei M, McAlister S, O’Shea C, Davies R, McGain F. Environmental impact of peripheral venous cannulation: comparison between methods. </w:t>
      </w:r>
      <w:r w:rsidDel="00000000" w:rsidR="00000000" w:rsidRPr="00000000">
        <w:rPr>
          <w:i w:val="1"/>
          <w:iCs w:val="1"/>
          <w:rtl w:val="0"/>
        </w:rPr>
        <w:t xml:space="preserve">Br J Anaesth</w:t>
      </w:r>
      <w:r w:rsidDel="00000000" w:rsidR="00000000" w:rsidRPr="00000000">
        <w:rPr>
          <w:rtl w:val="0"/>
        </w:rPr>
        <w:t xml:space="preserve">. Pdf [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here</w:t>
        </w:r>
      </w:hyperlink>
      <w:r w:rsidDel="00000000" w:rsidR="00000000" w:rsidRPr="00000000">
        <w:rPr>
          <w:rtl w:val="0"/>
        </w:rPr>
        <w:t xml:space="preserve">]. </w:t>
      </w:r>
    </w:p>
    <w:p w:rsidR="00000000" w:rsidDel="00000000" w:rsidP="00000000" w:rsidRDefault="00000000" w:rsidRPr="00000000" w14:paraId="00000042">
      <w:pPr>
        <w:spacing w:before="280" w:line="240" w:lineRule="auto"/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18" w:type="default"/>
      <w:footerReference r:id="rId19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4819650</wp:posOffset>
          </wp:positionH>
          <wp:positionV relativeFrom="paragraph">
            <wp:posOffset>-335279</wp:posOffset>
          </wp:positionV>
          <wp:extent cx="1776413" cy="687172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76413" cy="68717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-276224</wp:posOffset>
          </wp:positionH>
          <wp:positionV relativeFrom="paragraph">
            <wp:posOffset>-314324</wp:posOffset>
          </wp:positionV>
          <wp:extent cx="595313" cy="59531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5313" cy="5953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-923924</wp:posOffset>
          </wp:positionH>
          <wp:positionV relativeFrom="paragraph">
            <wp:posOffset>-333374</wp:posOffset>
          </wp:positionV>
          <wp:extent cx="642938" cy="685800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2938" cy="6858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927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o"/>
      <w:lvlJc w:val="left"/>
      <w:pPr>
        <w:ind w:left="1211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65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7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1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53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71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3Char" w:customStyle="1">
    <w:name w:val="Heading 3 Char"/>
    <w:basedOn w:val="DefaultParagraphFont"/>
    <w:link w:val="Heading3"/>
    <w:uiPriority w:val="9"/>
    <w:rsid w:val="00CF6737"/>
    <w:rPr>
      <w:rFonts w:ascii="Times New Roman" w:cs="Times New Roman" w:eastAsia="Times New Roman" w:hAnsi="Times New Roman"/>
      <w:b w:val="1"/>
      <w:bCs w:val="1"/>
      <w:sz w:val="27"/>
      <w:szCs w:val="27"/>
      <w:lang w:eastAsia="en-AU"/>
    </w:rPr>
  </w:style>
  <w:style w:type="character" w:styleId="Strong">
    <w:name w:val="Strong"/>
    <w:basedOn w:val="DefaultParagraphFont"/>
    <w:uiPriority w:val="22"/>
    <w:qFormat w:val="1"/>
    <w:rsid w:val="00CF6737"/>
    <w:rPr>
      <w:b w:val="1"/>
      <w:bCs w:val="1"/>
    </w:rPr>
  </w:style>
  <w:style w:type="paragraph" w:styleId="NormalWeb">
    <w:name w:val="Normal (Web)"/>
    <w:basedOn w:val="Normal"/>
    <w:uiPriority w:val="99"/>
    <w:semiHidden w:val="1"/>
    <w:unhideWhenUsed w:val="1"/>
    <w:rsid w:val="00CF673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AU"/>
    </w:rPr>
  </w:style>
  <w:style w:type="character" w:styleId="relative" w:customStyle="1">
    <w:name w:val="relative"/>
    <w:basedOn w:val="DefaultParagraphFont"/>
    <w:rsid w:val="00CF6737"/>
  </w:style>
  <w:style w:type="character" w:styleId="Emphasis">
    <w:name w:val="Emphasis"/>
    <w:basedOn w:val="DefaultParagraphFont"/>
    <w:uiPriority w:val="20"/>
    <w:qFormat w:val="1"/>
    <w:rsid w:val="00CF6737"/>
    <w:rPr>
      <w:i w:val="1"/>
      <w:iCs w:val="1"/>
    </w:rPr>
  </w:style>
  <w:style w:type="character" w:styleId="ms-1" w:customStyle="1">
    <w:name w:val="ms-1"/>
    <w:basedOn w:val="DefaultParagraphFont"/>
    <w:rsid w:val="00CF6737"/>
  </w:style>
  <w:style w:type="character" w:styleId="max-w-full" w:customStyle="1">
    <w:name w:val="max-w-full"/>
    <w:basedOn w:val="DefaultParagraphFont"/>
    <w:rsid w:val="00CF6737"/>
  </w:style>
  <w:style w:type="character" w:styleId="-me-1" w:customStyle="1">
    <w:name w:val="-me-1"/>
    <w:basedOn w:val="DefaultParagraphFont"/>
    <w:rsid w:val="00CF6737"/>
  </w:style>
  <w:style w:type="character" w:styleId="TitleChar" w:customStyle="1">
    <w:name w:val="Title Char"/>
    <w:basedOn w:val="DefaultParagraphFont"/>
    <w:link w:val="Title"/>
    <w:uiPriority w:val="10"/>
    <w:rsid w:val="00CF673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 w:val="1"/>
    <w:rsid w:val="00814523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814523"/>
    <w:rPr>
      <w:color w:val="0000ff"/>
      <w:u w:val="single"/>
    </w:rPr>
  </w:style>
  <w:style w:type="character" w:styleId="anchor-text" w:customStyle="1">
    <w:name w:val="anchor-text"/>
    <w:basedOn w:val="DefaultParagraphFont"/>
    <w:rsid w:val="00814523"/>
  </w:style>
  <w:style w:type="character" w:styleId="Heading1Char" w:customStyle="1">
    <w:name w:val="Heading 1 Char"/>
    <w:basedOn w:val="DefaultParagraphFont"/>
    <w:link w:val="Heading1"/>
    <w:uiPriority w:val="9"/>
    <w:rsid w:val="00814523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identifier" w:customStyle="1">
    <w:name w:val="identifier"/>
    <w:basedOn w:val="DefaultParagraphFont"/>
    <w:rsid w:val="0005174C"/>
  </w:style>
  <w:style w:type="character" w:styleId="id-label" w:customStyle="1">
    <w:name w:val="id-label"/>
    <w:basedOn w:val="DefaultParagraphFont"/>
    <w:rsid w:val="0005174C"/>
  </w:style>
  <w:style w:type="character" w:styleId="UnresolvedMention">
    <w:name w:val="Unresolved Mention"/>
    <w:basedOn w:val="DefaultParagraphFont"/>
    <w:uiPriority w:val="99"/>
    <w:semiHidden w:val="1"/>
    <w:unhideWhenUsed w:val="1"/>
    <w:rsid w:val="0005174C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05174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EC27F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C27F9"/>
  </w:style>
  <w:style w:type="paragraph" w:styleId="Footer">
    <w:name w:val="footer"/>
    <w:basedOn w:val="Normal"/>
    <w:link w:val="FooterChar"/>
    <w:uiPriority w:val="99"/>
    <w:unhideWhenUsed w:val="1"/>
    <w:rsid w:val="00EC27F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C27F9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i.org/10.1016/j.idh.2025.07.001" TargetMode="External"/><Relationship Id="rId10" Type="http://schemas.openxmlformats.org/officeDocument/2006/relationships/hyperlink" Target="https://doi.org/10.1136/bmjopen-2024-096962" TargetMode="External"/><Relationship Id="rId13" Type="http://schemas.openxmlformats.org/officeDocument/2006/relationships/hyperlink" Target="https://doi.org/10.1111/acem.14942" TargetMode="External"/><Relationship Id="rId12" Type="http://schemas.openxmlformats.org/officeDocument/2006/relationships/hyperlink" Target="https://doi.org/10.1016/j.idh.2025.07.00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i.org/10.12968/bjon.1998.7.21.5551" TargetMode="External"/><Relationship Id="rId15" Type="http://schemas.openxmlformats.org/officeDocument/2006/relationships/hyperlink" Target="https://doi.org/10.1002/jhm.2389" TargetMode="External"/><Relationship Id="rId14" Type="http://schemas.openxmlformats.org/officeDocument/2006/relationships/hyperlink" Target="https://doi.org/10.12788/jhm.3039" TargetMode="External"/><Relationship Id="rId17" Type="http://schemas.openxmlformats.org/officeDocument/2006/relationships/hyperlink" Target="https://drive.google.com/file/d/13GHcZ77ZtOfVZtur84mgBBQDrXSoRAfF/view?usp=sharing" TargetMode="External"/><Relationship Id="rId16" Type="http://schemas.openxmlformats.org/officeDocument/2006/relationships/hyperlink" Target="https://doi.org/10.1016/j.idh.2025.00046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hyperlink" Target="http://dx.doi.org/10.1136/emermed-2016-206402.14" TargetMode="External"/><Relationship Id="rId8" Type="http://schemas.openxmlformats.org/officeDocument/2006/relationships/hyperlink" Target="https://doi.org/10.1016/j.ijnurstu.2023.104673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/kkdqaN9YIaZ5LmAzFtLLphjeQ==">CgMxLjA4AHIhMVNFUjV2RU5GT3NmaTdNWHJSejBFQkdKVHIxcnAyNlRG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2025-07-23T22:47:00Z</dcterms:created>
  <dc:creator>Sundy Yang</dc:creator>
</cp:coreProperties>
</file>